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230FCE" w:rsidTr="00230FCE">
        <w:trPr>
          <w:jc w:val="center"/>
        </w:trPr>
        <w:tc>
          <w:tcPr>
            <w:tcW w:w="2250" w:type="pct"/>
            <w:shd w:val="clear" w:color="auto" w:fill="auto"/>
            <w:tcMar>
              <w:top w:w="0" w:type="dxa"/>
              <w:left w:w="0" w:type="dxa"/>
              <w:bottom w:w="0" w:type="dxa"/>
              <w:right w:w="0" w:type="dxa"/>
            </w:tcMar>
          </w:tcPr>
          <w:p w:rsidR="00230FCE" w:rsidRPr="00490E91" w:rsidRDefault="00230FCE" w:rsidP="00230FCE">
            <w:pPr>
              <w:pStyle w:val="rvps14"/>
              <w:spacing w:before="150" w:after="150"/>
              <w:rPr>
                <w:rStyle w:val="spanrvts0"/>
                <w:lang w:val="ru-RU" w:eastAsia="uk"/>
              </w:rPr>
            </w:pPr>
            <w:bookmarkStart w:id="0" w:name="_GoBack"/>
            <w:bookmarkEnd w:id="0"/>
          </w:p>
        </w:tc>
        <w:tc>
          <w:tcPr>
            <w:tcW w:w="2000" w:type="pct"/>
            <w:shd w:val="clear" w:color="auto" w:fill="auto"/>
            <w:tcMar>
              <w:top w:w="0" w:type="dxa"/>
              <w:left w:w="0" w:type="dxa"/>
              <w:bottom w:w="0" w:type="dxa"/>
              <w:right w:w="0" w:type="dxa"/>
            </w:tcMar>
            <w:hideMark/>
          </w:tcPr>
          <w:p w:rsidR="00230FCE" w:rsidRPr="00230FCE" w:rsidRDefault="00230FCE" w:rsidP="00230FCE">
            <w:pPr>
              <w:pStyle w:val="rvps14"/>
              <w:spacing w:before="150" w:after="150"/>
              <w:ind w:left="295"/>
              <w:rPr>
                <w:rStyle w:val="spanrvts0"/>
                <w:sz w:val="20"/>
                <w:szCs w:val="20"/>
                <w:lang w:val="uk" w:eastAsia="uk"/>
              </w:rPr>
            </w:pPr>
            <w:r w:rsidRPr="00230FCE">
              <w:rPr>
                <w:rStyle w:val="spanrvts0"/>
                <w:bCs/>
                <w:sz w:val="20"/>
                <w:szCs w:val="20"/>
                <w:lang w:val="uk" w:eastAsia="uk"/>
              </w:rPr>
              <w:t xml:space="preserve">Додаток 62 </w:t>
            </w:r>
            <w:r w:rsidRPr="00230FCE">
              <w:rPr>
                <w:rStyle w:val="spanrvts0"/>
                <w:bCs/>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30FCE">
              <w:rPr>
                <w:rStyle w:val="spanrvts0"/>
                <w:bCs/>
                <w:sz w:val="20"/>
                <w:szCs w:val="20"/>
                <w:lang w:val="uk" w:eastAsia="uk"/>
              </w:rPr>
              <w:br/>
              <w:t>паперами (пункт 108)</w:t>
            </w:r>
          </w:p>
        </w:tc>
      </w:tr>
    </w:tbl>
    <w:p w:rsidR="00230FCE" w:rsidRPr="00230FCE" w:rsidRDefault="00230FCE" w:rsidP="00230FCE">
      <w:pPr>
        <w:pStyle w:val="rvps7"/>
        <w:spacing w:before="150" w:after="150"/>
        <w:ind w:left="450" w:right="450"/>
        <w:rPr>
          <w:rStyle w:val="spanrvts0"/>
          <w:lang w:val="uk" w:eastAsia="uk"/>
        </w:rPr>
      </w:pPr>
      <w:r w:rsidRPr="00230FCE">
        <w:rPr>
          <w:rStyle w:val="spanrvts15"/>
          <w:bCs w:val="0"/>
          <w:lang w:val="uk" w:eastAsia="uk"/>
        </w:rPr>
        <w:t xml:space="preserve">ПОВІДОМЛЕННЯ </w:t>
      </w:r>
      <w:r w:rsidRPr="00230FCE">
        <w:rPr>
          <w:rStyle w:val="spanrvts15"/>
          <w:bCs w:val="0"/>
          <w:lang w:val="uk" w:eastAsia="uk"/>
        </w:rPr>
        <w:br/>
        <w:t>про проведення (скликання) загальних зборів акціонерного товариства</w:t>
      </w:r>
    </w:p>
    <w:tbl>
      <w:tblPr>
        <w:tblW w:w="4977" w:type="pct"/>
        <w:tblInd w:w="-20" w:type="dxa"/>
        <w:tblLayout w:type="fixed"/>
        <w:tblCellMar>
          <w:top w:w="567" w:type="dxa"/>
          <w:left w:w="567" w:type="dxa"/>
          <w:bottom w:w="567" w:type="dxa"/>
          <w:right w:w="567" w:type="dxa"/>
        </w:tblCellMar>
        <w:tblLook w:val="05E0" w:firstRow="1" w:lastRow="1" w:firstColumn="1" w:lastColumn="1" w:noHBand="0" w:noVBand="1"/>
      </w:tblPr>
      <w:tblGrid>
        <w:gridCol w:w="21"/>
        <w:gridCol w:w="4887"/>
        <w:gridCol w:w="20"/>
        <w:gridCol w:w="4964"/>
      </w:tblGrid>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1</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2</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Повне найменування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AA2A4D" w:rsidRDefault="00AA2A4D" w:rsidP="00EB1242">
            <w:pPr>
              <w:pStyle w:val="rvps14"/>
              <w:rPr>
                <w:rStyle w:val="spanrvts0"/>
                <w:lang w:eastAsia="uk"/>
              </w:rPr>
            </w:pPr>
            <w:r>
              <w:rPr>
                <w:rStyle w:val="spanrvts0"/>
                <w:lang w:eastAsia="uk"/>
              </w:rPr>
              <w:t xml:space="preserve"> </w:t>
            </w:r>
            <w:r w:rsidR="000E33D9">
              <w:rPr>
                <w:rStyle w:val="spanrvts0"/>
                <w:lang w:eastAsia="uk"/>
              </w:rPr>
              <w:t>ПРИВАТНЕ АКЦIОНЕРНЕ ТОВАРИСТВО  «ДОIРЕА»</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Ідентифікаційний код юридичної особи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0E33D9">
              <w:rPr>
                <w:rStyle w:val="spanrvts0"/>
                <w:lang w:eastAsia="uk"/>
              </w:rPr>
              <w:t>03598943</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Місцезнаходження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0E33D9">
              <w:rPr>
                <w:rStyle w:val="spanrvts0"/>
                <w:lang w:eastAsia="uk"/>
              </w:rPr>
              <w:t>49083, м. Днiпро, вул. Прапорна, 21</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0E33D9">
              <w:rPr>
                <w:rStyle w:val="spanrvts0"/>
                <w:lang w:eastAsia="uk"/>
              </w:rPr>
              <w:t>30.06.2025 18:00</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Спосіб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AA2A4D" w:rsidP="00B8206F">
            <w:pPr>
              <w:pStyle w:val="rvps14"/>
              <w:spacing w:before="150" w:after="150"/>
              <w:rPr>
                <w:rStyle w:val="spanrvts0"/>
                <w:lang w:val="uk" w:eastAsia="uk"/>
              </w:rPr>
            </w:pPr>
            <w:r w:rsidRPr="00AA2A4D">
              <w:rPr>
                <w:lang w:val="ru-RU"/>
              </w:rPr>
              <w:t xml:space="preserve">   </w:t>
            </w:r>
            <w:r w:rsidR="000E33D9" w:rsidRPr="00490E91">
              <w:rPr>
                <w:b/>
                <w:lang w:val="ru-RU"/>
              </w:rPr>
              <w:t xml:space="preserve"> </w:t>
            </w:r>
            <w:r w:rsidRPr="00AA2A4D">
              <w:rPr>
                <w:lang w:val="ru-RU"/>
              </w:rPr>
              <w:t xml:space="preserve"> </w:t>
            </w:r>
            <w:hyperlink r:id="rId5" w:history="1"/>
            <w:r w:rsidR="00230FCE" w:rsidRPr="00230FCE">
              <w:rPr>
                <w:rStyle w:val="spanrvts0"/>
                <w:b/>
                <w:bCs/>
                <w:lang w:val="uk" w:eastAsia="uk"/>
              </w:rPr>
              <w:t>очне голосування, місце проведення</w:t>
            </w:r>
            <w:r w:rsidR="00230FCE" w:rsidRPr="00230FCE">
              <w:rPr>
                <w:rStyle w:val="spanrvts37"/>
                <w:b w:val="0"/>
                <w:bCs w:val="0"/>
                <w:sz w:val="0"/>
                <w:szCs w:val="0"/>
                <w:lang w:val="uk" w:eastAsia="uk"/>
              </w:rPr>
              <w:t>-</w:t>
            </w:r>
            <w:r w:rsidR="00B8206F">
              <w:rPr>
                <w:rStyle w:val="spanrvts0"/>
                <w:b/>
                <w:bCs/>
                <w:lang w:val="uk" w:eastAsia="uk"/>
              </w:rPr>
              <w:t xml:space="preserve">: </w:t>
            </w:r>
            <w:r w:rsidR="00B8206F">
              <w:rPr>
                <w:rStyle w:val="spanrvts0"/>
                <w:b/>
                <w:bCs/>
                <w:lang w:val="uk" w:eastAsia="uk"/>
              </w:rPr>
              <w:br/>
            </w:r>
            <w:r w:rsidR="00B8206F" w:rsidRPr="00B8206F">
              <w:rPr>
                <w:rStyle w:val="spanrvts0"/>
                <w:b/>
                <w:bCs/>
                <w:lang w:val="ru-RU" w:eastAsia="uk"/>
              </w:rPr>
              <w:t xml:space="preserve"> </w:t>
            </w:r>
            <w:r w:rsidR="00230FCE" w:rsidRPr="00230FCE">
              <w:rPr>
                <w:rStyle w:val="spanrvts0"/>
                <w:b/>
                <w:bCs/>
                <w:lang w:val="uk" w:eastAsia="uk"/>
              </w:rPr>
              <w:br/>
            </w:r>
            <w:r w:rsidRPr="00AA2A4D">
              <w:rPr>
                <w:lang w:val="ru-RU"/>
              </w:rPr>
              <w:t xml:space="preserve">   </w:t>
            </w:r>
            <w:r w:rsidR="000E33D9" w:rsidRPr="00490E91">
              <w:rPr>
                <w:b/>
                <w:lang w:val="ru-RU"/>
              </w:rPr>
              <w:t xml:space="preserve"> </w:t>
            </w:r>
            <w:r w:rsidRPr="00AA2A4D">
              <w:rPr>
                <w:lang w:val="ru-RU"/>
              </w:rPr>
              <w:t xml:space="preserve"> </w:t>
            </w:r>
            <w:hyperlink r:id="rId6" w:history="1"/>
            <w:r w:rsidR="00230FCE" w:rsidRPr="00230FCE">
              <w:rPr>
                <w:rStyle w:val="spanrvts0"/>
                <w:b/>
                <w:bCs/>
                <w:lang w:val="uk" w:eastAsia="uk"/>
              </w:rPr>
              <w:t xml:space="preserve">електронне голосування </w:t>
            </w:r>
            <w:r w:rsidR="00230FCE" w:rsidRPr="00230FCE">
              <w:rPr>
                <w:rStyle w:val="spanrvts0"/>
                <w:b/>
                <w:bCs/>
                <w:lang w:val="uk" w:eastAsia="uk"/>
              </w:rPr>
              <w:br/>
            </w:r>
            <w:r w:rsidRPr="00AA2A4D">
              <w:rPr>
                <w:lang w:val="ru-RU"/>
              </w:rPr>
              <w:t xml:space="preserve">   </w:t>
            </w:r>
            <w:r w:rsidR="000E33D9" w:rsidRPr="00490E91">
              <w:rPr>
                <w:b/>
                <w:lang w:val="ru-RU"/>
              </w:rPr>
              <w:t>[</w:t>
            </w:r>
            <w:r w:rsidR="000E33D9">
              <w:rPr>
                <w:b/>
              </w:rPr>
              <w:t>X</w:t>
            </w:r>
            <w:r w:rsidR="000E33D9" w:rsidRPr="00490E91">
              <w:rPr>
                <w:b/>
                <w:lang w:val="ru-RU"/>
              </w:rPr>
              <w:t>]</w:t>
            </w:r>
            <w:r w:rsidR="00B8206F" w:rsidRPr="00B8206F">
              <w:rPr>
                <w:lang w:val="ru-RU"/>
              </w:rPr>
              <w:t xml:space="preserve"> </w:t>
            </w:r>
            <w:hyperlink r:id="rId7" w:history="1"/>
            <w:r w:rsidR="00230FCE" w:rsidRPr="00230FCE">
              <w:rPr>
                <w:rStyle w:val="spanrvts0"/>
                <w:b/>
                <w:bCs/>
                <w:lang w:val="uk" w:eastAsia="uk"/>
              </w:rPr>
              <w:t>опитування (дистанційно)</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Час початку і закінчення реєстрації акціонерів для участі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Default="00B8206F" w:rsidP="00EB1242">
            <w:pPr>
              <w:pStyle w:val="rvps14"/>
              <w:contextualSpacing/>
              <w:rPr>
                <w:rStyle w:val="spanrvts0"/>
                <w:lang w:eastAsia="uk"/>
              </w:rPr>
            </w:pPr>
            <w:r>
              <w:rPr>
                <w:rStyle w:val="spanrvts0"/>
                <w:lang w:eastAsia="uk"/>
              </w:rPr>
              <w:t xml:space="preserve"> </w:t>
            </w:r>
            <w:r w:rsidR="000E33D9">
              <w:rPr>
                <w:rStyle w:val="spanrvts0"/>
                <w:lang w:eastAsia="uk"/>
              </w:rPr>
              <w:t xml:space="preserve"> </w:t>
            </w:r>
          </w:p>
          <w:p w:rsidR="00EB1242" w:rsidRPr="00B8206F" w:rsidRDefault="00EB1242" w:rsidP="00EB1242">
            <w:pPr>
              <w:pStyle w:val="rvps14"/>
              <w:rPr>
                <w:rStyle w:val="spanrvts0"/>
                <w:lang w:eastAsia="uk"/>
              </w:rPr>
            </w:pPr>
            <w:r>
              <w:rPr>
                <w:rStyle w:val="spanrvts0"/>
                <w:lang w:eastAsia="uk"/>
              </w:rPr>
              <w:t xml:space="preserve"> </w:t>
            </w:r>
            <w:r w:rsidR="000E33D9">
              <w:rPr>
                <w:rStyle w:val="spanrvts0"/>
                <w:lang w:eastAsia="uk"/>
              </w:rPr>
              <w:t xml:space="preserve"> </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складення переліку акціонерів, які мають право на участь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Pr="00B8206F" w:rsidRDefault="00B8206F" w:rsidP="00EB1242">
            <w:pPr>
              <w:pStyle w:val="rvps14"/>
              <w:rPr>
                <w:rStyle w:val="spanrvts0"/>
                <w:lang w:eastAsia="uk"/>
              </w:rPr>
            </w:pPr>
            <w:r>
              <w:rPr>
                <w:rStyle w:val="spanrvts0"/>
                <w:lang w:eastAsia="uk"/>
              </w:rPr>
              <w:t xml:space="preserve"> </w:t>
            </w:r>
            <w:r w:rsidR="000E33D9">
              <w:rPr>
                <w:rStyle w:val="spanrvts0"/>
                <w:lang w:eastAsia="uk"/>
              </w:rPr>
              <w:t>25.06.2025</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Проект порядку денного / порядок денний</w:t>
            </w:r>
            <w:r w:rsidRPr="00230FCE">
              <w:rPr>
                <w:rStyle w:val="spanrvts37"/>
                <w:b w:val="0"/>
                <w:bCs w:val="0"/>
                <w:sz w:val="0"/>
                <w:szCs w:val="0"/>
                <w:lang w:val="uk" w:eastAsia="uk"/>
              </w:rPr>
              <w:t>-</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E33D9" w:rsidRPr="00490E91" w:rsidRDefault="00EB1242"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1. Розгляд звіту Генерального директора Товариства за наслідками зменшення власного капіталу товариства та затвердження заходів за результатами розгляду зазначеного звіту.</w:t>
            </w:r>
          </w:p>
          <w:p w:rsidR="000E33D9" w:rsidRPr="00490E91" w:rsidRDefault="000E33D9" w:rsidP="00EB1242">
            <w:pPr>
              <w:pStyle w:val="rvps14"/>
              <w:rPr>
                <w:rStyle w:val="spanrvts0"/>
                <w:lang w:val="ru-RU" w:eastAsia="uk"/>
              </w:rPr>
            </w:pPr>
            <w:r w:rsidRPr="00490E91">
              <w:rPr>
                <w:rStyle w:val="spanrvts0"/>
                <w:lang w:val="ru-RU" w:eastAsia="uk"/>
              </w:rPr>
              <w:t>2. Про заходи, які мають бути вжиті для покращення фінансового стану Товариства.</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Взаємозв'язок між питаннями, включеними до проекту порядку денного, відсутній.</w:t>
            </w:r>
          </w:p>
          <w:p w:rsidR="00230FCE" w:rsidRPr="00490E91"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Проекти рішень (крім кумулятивного голосування) з кожного питання, включеного до проекту порядку денного</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E33D9" w:rsidRPr="00490E91" w:rsidRDefault="00EB1242"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Проект рішення з питання "Розгляд звіту Генерального директора Товариства за наслідками зменшення власного капіталу товариства та затвердження заходів за результатами розгляду зазначеного звіту.":</w:t>
            </w:r>
          </w:p>
          <w:p w:rsidR="000E33D9" w:rsidRPr="00490E91" w:rsidRDefault="000E33D9" w:rsidP="00EB1242">
            <w:pPr>
              <w:pStyle w:val="rvps14"/>
              <w:rPr>
                <w:rStyle w:val="spanrvts0"/>
                <w:lang w:val="ru-RU" w:eastAsia="uk"/>
              </w:rPr>
            </w:pPr>
            <w:r w:rsidRPr="00490E91">
              <w:rPr>
                <w:rStyle w:val="spanrvts0"/>
                <w:lang w:val="ru-RU" w:eastAsia="uk"/>
              </w:rPr>
              <w:t>1.1. Прийняти до відома звіт Генерального директора Товариства за наслідками зменшення власного капіталу товариства.</w:t>
            </w:r>
          </w:p>
          <w:p w:rsidR="000E33D9" w:rsidRPr="00490E91" w:rsidRDefault="000E33D9" w:rsidP="00EB1242">
            <w:pPr>
              <w:pStyle w:val="rvps14"/>
              <w:rPr>
                <w:rStyle w:val="spanrvts0"/>
                <w:lang w:val="ru-RU" w:eastAsia="uk"/>
              </w:rPr>
            </w:pPr>
            <w:r w:rsidRPr="00490E91">
              <w:rPr>
                <w:rStyle w:val="spanrvts0"/>
                <w:lang w:val="ru-RU" w:eastAsia="uk"/>
              </w:rPr>
              <w:t>1.2. Затвердити заходи за результатами розгляду зазначеного звіту .</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Проект рішення з питання "Про заходи, які мають бути вжиті для покращення фінансового стану Товариства.":</w:t>
            </w:r>
          </w:p>
          <w:p w:rsidR="000E33D9" w:rsidRPr="00490E91" w:rsidRDefault="000E33D9" w:rsidP="00EB1242">
            <w:pPr>
              <w:pStyle w:val="rvps14"/>
              <w:rPr>
                <w:rStyle w:val="spanrvts0"/>
                <w:lang w:val="ru-RU" w:eastAsia="uk"/>
              </w:rPr>
            </w:pPr>
            <w:r w:rsidRPr="00490E91">
              <w:rPr>
                <w:rStyle w:val="spanrvts0"/>
                <w:lang w:val="ru-RU" w:eastAsia="uk"/>
              </w:rPr>
              <w:t>2.1 Доручити Генеральному директору Товариства почати реалізацію заходів, які мають бути вжиті для покращення фінансового стану Товариства.</w:t>
            </w:r>
          </w:p>
          <w:p w:rsidR="000E33D9" w:rsidRPr="00490E91" w:rsidRDefault="000E33D9" w:rsidP="00EB1242">
            <w:pPr>
              <w:pStyle w:val="rvps14"/>
              <w:rPr>
                <w:rStyle w:val="spanrvts0"/>
                <w:lang w:val="ru-RU" w:eastAsia="uk"/>
              </w:rPr>
            </w:pPr>
            <w:r w:rsidRPr="00490E91">
              <w:rPr>
                <w:rStyle w:val="spanrvts0"/>
                <w:lang w:val="ru-RU" w:eastAsia="uk"/>
              </w:rPr>
              <w:t xml:space="preserve">2.2. Наглядовій раді Товариства забезпечити </w:t>
            </w:r>
            <w:r w:rsidRPr="00490E91">
              <w:rPr>
                <w:rStyle w:val="spanrvts0"/>
                <w:lang w:val="ru-RU" w:eastAsia="uk"/>
              </w:rPr>
              <w:lastRenderedPageBreak/>
              <w:t>контроль за виконанням Генеральним директором Товариства заходів, які мають бути вжиті для покращення фінансового стану Товариства.</w:t>
            </w:r>
          </w:p>
          <w:p w:rsidR="00230FCE" w:rsidRPr="00490E91"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URL-адреса вебсайту, на якій розміщено інформацію, зазначену в </w:t>
            </w:r>
            <w:hyperlink r:id="rId8" w:anchor="n506" w:tgtFrame="_blank" w:history="1">
              <w:r w:rsidRPr="00230FCE">
                <w:rPr>
                  <w:rStyle w:val="arvts96"/>
                  <w:lang w:val="uk" w:eastAsia="uk"/>
                </w:rPr>
                <w:t>частині третій</w:t>
              </w:r>
            </w:hyperlink>
            <w:r w:rsidRPr="00230FCE">
              <w:rPr>
                <w:rStyle w:val="spanrvts0"/>
                <w:b/>
                <w:bCs/>
                <w:lang w:val="uk" w:eastAsia="uk"/>
              </w:rPr>
              <w:t xml:space="preserve"> статті 47 Закону про акціонерні товариства</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EB1242" w:rsidRDefault="00EB1242" w:rsidP="00EB1242">
            <w:pPr>
              <w:pStyle w:val="rvps14"/>
              <w:rPr>
                <w:rStyle w:val="spanrvts0"/>
                <w:lang w:eastAsia="uk"/>
              </w:rPr>
            </w:pPr>
            <w:r>
              <w:rPr>
                <w:rStyle w:val="spanrvts0"/>
                <w:lang w:eastAsia="uk"/>
              </w:rPr>
              <w:t xml:space="preserve"> </w:t>
            </w:r>
            <w:r w:rsidR="000E33D9">
              <w:rPr>
                <w:rStyle w:val="spanrvts0"/>
                <w:lang w:eastAsia="uk"/>
              </w:rPr>
              <w:t>https://03598943.emitent.net.ua</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Порядок ознайомлення акціонерів з матеріалами, з якими вони можуть ознайомитися під час підготовки до загальних зборів</w:t>
            </w:r>
            <w:r w:rsidRPr="00230FCE">
              <w:rPr>
                <w:rStyle w:val="spanrvts37"/>
                <w:b w:val="0"/>
                <w:bCs w:val="0"/>
                <w:sz w:val="0"/>
                <w:szCs w:val="0"/>
                <w:lang w:val="uk" w:eastAsia="uk"/>
              </w:rPr>
              <w:t>-</w:t>
            </w:r>
            <w:r w:rsidRPr="00230FCE">
              <w:rPr>
                <w:rStyle w:val="spanrvts0"/>
                <w:b/>
                <w:bCs/>
                <w:lang w:val="uk" w:eastAsia="uk"/>
              </w:rPr>
              <w:t>, та посадова особа</w:t>
            </w:r>
            <w:r w:rsidRPr="00230FCE">
              <w:rPr>
                <w:rStyle w:val="spanrvts37"/>
                <w:b w:val="0"/>
                <w:bCs w:val="0"/>
                <w:sz w:val="0"/>
                <w:szCs w:val="0"/>
                <w:lang w:val="uk" w:eastAsia="uk"/>
              </w:rPr>
              <w:t>-</w:t>
            </w:r>
            <w:r w:rsidRPr="00230FCE">
              <w:rPr>
                <w:rStyle w:val="spanrvts0"/>
                <w:b/>
                <w:bCs/>
                <w:lang w:val="uk" w:eastAsia="uk"/>
              </w:rPr>
              <w:t xml:space="preserve"> акціонерного товариства, відповідальна за порядок ознайомлення акціонерів з документами</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E33D9" w:rsidRPr="00490E91" w:rsidRDefault="00FC060E"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 xml:space="preserve">Кожен акціонер має право отримати, а ПРАТ "ДОІРЕА"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ПРАТ "ДОІРЕА"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засобами електронної пошти </w:t>
            </w:r>
            <w:r w:rsidR="000E33D9">
              <w:rPr>
                <w:rStyle w:val="spanrvts0"/>
                <w:lang w:eastAsia="uk"/>
              </w:rPr>
              <w:t>arhicar</w:t>
            </w:r>
            <w:r w:rsidR="000E33D9" w:rsidRPr="00490E91">
              <w:rPr>
                <w:rStyle w:val="spanrvts0"/>
                <w:lang w:val="ru-RU" w:eastAsia="uk"/>
              </w:rPr>
              <w:t>@</w:t>
            </w:r>
            <w:r w:rsidR="000E33D9">
              <w:rPr>
                <w:rStyle w:val="spanrvts0"/>
                <w:lang w:eastAsia="uk"/>
              </w:rPr>
              <w:t>ukr</w:t>
            </w:r>
            <w:r w:rsidR="000E33D9" w:rsidRPr="00490E91">
              <w:rPr>
                <w:rStyle w:val="spanrvts0"/>
                <w:lang w:val="ru-RU" w:eastAsia="uk"/>
              </w:rPr>
              <w:t>.</w:t>
            </w:r>
            <w:r w:rsidR="000E33D9">
              <w:rPr>
                <w:rStyle w:val="spanrvts0"/>
                <w:lang w:eastAsia="uk"/>
              </w:rPr>
              <w:t>net</w:t>
            </w:r>
          </w:p>
          <w:p w:rsidR="000E33D9" w:rsidRPr="00490E91" w:rsidRDefault="000E33D9" w:rsidP="00EB1242">
            <w:pPr>
              <w:pStyle w:val="rvps14"/>
              <w:rPr>
                <w:rStyle w:val="spanrvts0"/>
                <w:lang w:val="ru-RU" w:eastAsia="uk"/>
              </w:rPr>
            </w:pPr>
            <w:r w:rsidRPr="00490E91">
              <w:rPr>
                <w:rStyle w:val="spanrvts0"/>
                <w:lang w:val="ru-RU" w:eastAsia="uk"/>
              </w:rPr>
              <w:t xml:space="preserve">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w:t>
            </w:r>
            <w:r>
              <w:rPr>
                <w:rStyle w:val="spanrvts0"/>
                <w:lang w:eastAsia="uk"/>
              </w:rPr>
              <w:t>arhicar</w:t>
            </w:r>
            <w:r w:rsidRPr="00490E91">
              <w:rPr>
                <w:rStyle w:val="spanrvts0"/>
                <w:lang w:val="ru-RU" w:eastAsia="uk"/>
              </w:rPr>
              <w:t>@</w:t>
            </w:r>
            <w:r>
              <w:rPr>
                <w:rStyle w:val="spanrvts0"/>
                <w:lang w:eastAsia="uk"/>
              </w:rPr>
              <w:t>ukr</w:t>
            </w:r>
            <w:r w:rsidRPr="00490E91">
              <w:rPr>
                <w:rStyle w:val="spanrvts0"/>
                <w:lang w:val="ru-RU" w:eastAsia="uk"/>
              </w:rPr>
              <w:t>.</w:t>
            </w:r>
            <w:r>
              <w:rPr>
                <w:rStyle w:val="spanrvts0"/>
                <w:lang w:eastAsia="uk"/>
              </w:rPr>
              <w:t>net</w:t>
            </w:r>
            <w:r w:rsidRPr="00490E91">
              <w:rPr>
                <w:rStyle w:val="spanrvts0"/>
                <w:lang w:val="ru-RU" w:eastAsia="uk"/>
              </w:rPr>
              <w:t>.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0E33D9" w:rsidRPr="00490E91" w:rsidRDefault="000E33D9" w:rsidP="00EB1242">
            <w:pPr>
              <w:pStyle w:val="rvps14"/>
              <w:rPr>
                <w:rStyle w:val="spanrvts0"/>
                <w:lang w:val="ru-RU" w:eastAsia="uk"/>
              </w:rPr>
            </w:pPr>
            <w:r w:rsidRPr="00490E91">
              <w:rPr>
                <w:rStyle w:val="spanrvts0"/>
                <w:lang w:val="ru-RU" w:eastAsia="uk"/>
              </w:rPr>
              <w:t xml:space="preserve">ПРАТ "ДОІРЕА"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w:t>
            </w:r>
            <w:r>
              <w:rPr>
                <w:rStyle w:val="spanrvts0"/>
                <w:lang w:eastAsia="uk"/>
              </w:rPr>
              <w:t>arhicar</w:t>
            </w:r>
            <w:r w:rsidRPr="00490E91">
              <w:rPr>
                <w:rStyle w:val="spanrvts0"/>
                <w:lang w:val="ru-RU" w:eastAsia="uk"/>
              </w:rPr>
              <w:t>@</w:t>
            </w:r>
            <w:r>
              <w:rPr>
                <w:rStyle w:val="spanrvts0"/>
                <w:lang w:eastAsia="uk"/>
              </w:rPr>
              <w:t>ukr</w:t>
            </w:r>
            <w:r w:rsidRPr="00490E91">
              <w:rPr>
                <w:rStyle w:val="spanrvts0"/>
                <w:lang w:val="ru-RU" w:eastAsia="uk"/>
              </w:rPr>
              <w:t>.</w:t>
            </w:r>
            <w:r>
              <w:rPr>
                <w:rStyle w:val="spanrvts0"/>
                <w:lang w:eastAsia="uk"/>
              </w:rPr>
              <w:t>net</w:t>
            </w:r>
            <w:r w:rsidRPr="00490E91">
              <w:rPr>
                <w:rStyle w:val="spanrvts0"/>
                <w:lang w:val="ru-RU" w:eastAsia="uk"/>
              </w:rPr>
              <w:t xml:space="preserve"> 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ПРАТ "ДОІРЕА"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w:t>
            </w:r>
            <w:r w:rsidRPr="00490E91">
              <w:rPr>
                <w:rStyle w:val="spanrvts0"/>
                <w:lang w:val="ru-RU" w:eastAsia="uk"/>
              </w:rPr>
              <w:lastRenderedPageBreak/>
              <w:t>електронним підписом уповноваженої особи.</w:t>
            </w:r>
          </w:p>
          <w:p w:rsidR="000E33D9" w:rsidRPr="00490E91" w:rsidRDefault="000E33D9" w:rsidP="00EB1242">
            <w:pPr>
              <w:pStyle w:val="rvps14"/>
              <w:rPr>
                <w:rStyle w:val="spanrvts0"/>
                <w:lang w:val="ru-RU" w:eastAsia="uk"/>
              </w:rPr>
            </w:pPr>
            <w:r w:rsidRPr="00490E91">
              <w:rPr>
                <w:rStyle w:val="spanrvts0"/>
                <w:lang w:val="ru-RU" w:eastAsia="uk"/>
              </w:rPr>
              <w:t>Терещенко Сергій Іванович (контактний телефон: +38 050 4806168 )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 Місце для ознайомлення - Україна, 49083 м. Дніпро, вул. Прапорна, буд. 21, тел. генерального директора: +38 050 3628246.</w:t>
            </w:r>
          </w:p>
          <w:p w:rsidR="00230FCE" w:rsidRPr="00490E91"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Інформація про права, надані акціонерам відповідно до вимог </w:t>
            </w:r>
            <w:hyperlink r:id="rId9" w:anchor="n274" w:tgtFrame="_blank" w:history="1">
              <w:r w:rsidRPr="00230FCE">
                <w:rPr>
                  <w:rStyle w:val="arvts96"/>
                  <w:lang w:val="uk" w:eastAsia="uk"/>
                </w:rPr>
                <w:t>статей 27</w:t>
              </w:r>
            </w:hyperlink>
            <w:r w:rsidRPr="00230FCE">
              <w:rPr>
                <w:rStyle w:val="spanrvts0"/>
                <w:b/>
                <w:bCs/>
                <w:lang w:val="uk" w:eastAsia="uk"/>
              </w:rPr>
              <w:t xml:space="preserve"> і </w:t>
            </w:r>
            <w:hyperlink r:id="rId10" w:anchor="n283" w:tgtFrame="_blank" w:history="1">
              <w:r w:rsidRPr="00230FCE">
                <w:rPr>
                  <w:rStyle w:val="arvts96"/>
                  <w:lang w:val="uk" w:eastAsia="uk"/>
                </w:rPr>
                <w:t>28</w:t>
              </w:r>
            </w:hyperlink>
            <w:r w:rsidRPr="00230FCE">
              <w:rPr>
                <w:rStyle w:val="spanrvts0"/>
                <w:b/>
                <w:bCs/>
                <w:lang w:val="uk" w:eastAsia="uk"/>
              </w:rPr>
              <w:t xml:space="preserve"> Закону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E33D9" w:rsidRPr="00490E91" w:rsidRDefault="00FC060E"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w:t>
            </w:r>
          </w:p>
          <w:p w:rsidR="000E33D9" w:rsidRPr="00490E91" w:rsidRDefault="000E33D9" w:rsidP="00EB1242">
            <w:pPr>
              <w:pStyle w:val="rvps14"/>
              <w:rPr>
                <w:rStyle w:val="spanrvts0"/>
                <w:lang w:val="ru-RU" w:eastAsia="uk"/>
              </w:rPr>
            </w:pPr>
            <w:r w:rsidRPr="00490E91">
              <w:rPr>
                <w:rStyle w:val="spanrvts0"/>
                <w:lang w:val="ru-RU" w:eastAsia="uk"/>
              </w:rPr>
              <w:t>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проекту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вебсайті Товариства та протягом строку, встановленого чинним законодавством України.</w:t>
            </w:r>
          </w:p>
          <w:p w:rsidR="00230FCE" w:rsidRPr="00490E91" w:rsidRDefault="00230FCE" w:rsidP="00EB1242">
            <w:pPr>
              <w:pStyle w:val="rvps14"/>
              <w:rPr>
                <w:rStyle w:val="spanrvts0"/>
                <w:lang w:val="ru-RU"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Порядок надання акціонерами пропозицій до проекту порядку денного позачергових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490E91" w:rsidRDefault="00855E73"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Згідно із п.13 статті 49 Закону про Акціонерні товариства, акціонери не мають змоги надання пропозицій до проекту порядку денного позачергових загальних зборів, що скликаються за скороченою процедурою.</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30FCE" w:rsidRDefault="00230FCE" w:rsidP="00EB1242">
            <w:pPr>
              <w:pStyle w:val="rvps12"/>
              <w:jc w:val="left"/>
              <w:rPr>
                <w:rStyle w:val="spanrvts0"/>
                <w:lang w:val="uk" w:eastAsia="uk"/>
              </w:rPr>
            </w:pPr>
            <w:r w:rsidRPr="00230FCE">
              <w:rPr>
                <w:rStyle w:val="spanrvts0"/>
                <w:b/>
                <w:bCs/>
                <w:lang w:val="uk" w:eastAsia="uk"/>
              </w:rPr>
              <w:t>Порядок участі та голосування на загальних зборах за довіреністю</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0E33D9" w:rsidRPr="00490E91" w:rsidRDefault="00855E73" w:rsidP="00855E73">
            <w:pPr>
              <w:pStyle w:val="rvps12"/>
              <w:jc w:val="left"/>
              <w:rPr>
                <w:rStyle w:val="spanrvts0"/>
                <w:lang w:val="ru-RU" w:eastAsia="uk"/>
              </w:rPr>
            </w:pPr>
            <w:r w:rsidRPr="00810F71">
              <w:rPr>
                <w:rStyle w:val="spanrvts0"/>
                <w:lang w:val="ru-RU" w:eastAsia="uk"/>
              </w:rPr>
              <w:t xml:space="preserve"> </w:t>
            </w:r>
            <w:r w:rsidR="000E33D9" w:rsidRPr="00490E91">
              <w:rPr>
                <w:rStyle w:val="spanrvts0"/>
                <w:lang w:val="ru-RU" w:eastAsia="uk"/>
              </w:rPr>
              <w:t>1. Представником акціонера на загальних зборах може бути фізична особа, уповноважена особа юридичної особи або уповноважена особа держави чи територіальної громади.</w:t>
            </w:r>
          </w:p>
          <w:p w:rsidR="000E33D9" w:rsidRPr="00490E91" w:rsidRDefault="000E33D9" w:rsidP="00855E73">
            <w:pPr>
              <w:pStyle w:val="rvps12"/>
              <w:jc w:val="left"/>
              <w:rPr>
                <w:rStyle w:val="spanrvts0"/>
                <w:lang w:val="ru-RU" w:eastAsia="uk"/>
              </w:rPr>
            </w:pPr>
            <w:r w:rsidRPr="00490E91">
              <w:rPr>
                <w:rStyle w:val="spanrvts0"/>
                <w:lang w:val="ru-RU" w:eastAsia="uk"/>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об'єктами комунальної власності.</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2. Акціонер має право призначити свого представника безстроково або на певний строк.</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 xml:space="preserve">3. Представником акціонера на загальних зборах у разі участі у загальних зборах через авторизовану електронну систему може </w:t>
            </w:r>
            <w:r w:rsidRPr="00490E91">
              <w:rPr>
                <w:rStyle w:val="spanrvts0"/>
                <w:lang w:val="ru-RU" w:eastAsia="uk"/>
              </w:rPr>
              <w:lastRenderedPageBreak/>
              <w:t>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поданої інформації щодо такого волевиявлення акціонера.</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4. 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5. Довіреність на право участі та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rsidR="000E33D9" w:rsidRPr="00490E91" w:rsidRDefault="000E33D9" w:rsidP="00855E73">
            <w:pPr>
              <w:pStyle w:val="rvps12"/>
              <w:jc w:val="left"/>
              <w:rPr>
                <w:rStyle w:val="spanrvts0"/>
                <w:lang w:val="ru-RU" w:eastAsia="uk"/>
              </w:rPr>
            </w:pPr>
            <w:r w:rsidRPr="00490E91">
              <w:rPr>
                <w:rStyle w:val="spanrvts0"/>
                <w:lang w:val="ru-RU"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0E33D9" w:rsidRPr="00490E91" w:rsidRDefault="000E33D9" w:rsidP="00855E73">
            <w:pPr>
              <w:pStyle w:val="rvps12"/>
              <w:jc w:val="left"/>
              <w:rPr>
                <w:rStyle w:val="spanrvts0"/>
                <w:lang w:val="ru-RU" w:eastAsia="uk"/>
              </w:rPr>
            </w:pPr>
            <w:r w:rsidRPr="00490E91">
              <w:rPr>
                <w:rStyle w:val="spanrvts0"/>
                <w:lang w:val="ru-RU" w:eastAsia="uk"/>
              </w:rPr>
              <w:t>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6. Акціонер має право видати довіреність на право участі та голосування на загальних зборах декільком своїм представникам.</w:t>
            </w:r>
          </w:p>
          <w:p w:rsidR="000E33D9" w:rsidRPr="00490E91" w:rsidRDefault="000E33D9" w:rsidP="00855E73">
            <w:pPr>
              <w:pStyle w:val="rvps12"/>
              <w:jc w:val="left"/>
              <w:rPr>
                <w:rStyle w:val="spanrvts0"/>
                <w:lang w:val="ru-RU" w:eastAsia="uk"/>
              </w:rPr>
            </w:pPr>
            <w:r w:rsidRPr="00490E91">
              <w:rPr>
                <w:rStyle w:val="spanrvts0"/>
                <w:lang w:val="ru-RU" w:eastAsia="uk"/>
              </w:rPr>
              <w:t>У разі якщо для участі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пізніше.</w:t>
            </w:r>
          </w:p>
          <w:p w:rsidR="000E33D9" w:rsidRPr="00490E91" w:rsidRDefault="000E33D9" w:rsidP="00855E73">
            <w:pPr>
              <w:pStyle w:val="rvps12"/>
              <w:jc w:val="left"/>
              <w:rPr>
                <w:rStyle w:val="spanrvts0"/>
                <w:lang w:val="ru-RU" w:eastAsia="uk"/>
              </w:rPr>
            </w:pPr>
            <w:r w:rsidRPr="00490E91">
              <w:rPr>
                <w:rStyle w:val="spanrvts0"/>
                <w:lang w:val="ru-RU" w:eastAsia="uk"/>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rsidR="000E33D9" w:rsidRPr="00490E91" w:rsidRDefault="000E33D9" w:rsidP="00855E73">
            <w:pPr>
              <w:pStyle w:val="rvps12"/>
              <w:jc w:val="left"/>
              <w:rPr>
                <w:rStyle w:val="spanrvts0"/>
                <w:lang w:val="ru-RU" w:eastAsia="uk"/>
              </w:rPr>
            </w:pPr>
            <w:r w:rsidRPr="00490E91">
              <w:rPr>
                <w:rStyle w:val="spanrvts0"/>
                <w:lang w:val="ru-RU" w:eastAsia="uk"/>
              </w:rPr>
              <w:t xml:space="preserve">Акціонер має право у будь-який час до закінчення строку, відведеного для реєстрації </w:t>
            </w:r>
            <w:r w:rsidRPr="00490E91">
              <w:rPr>
                <w:rStyle w:val="spanrvts0"/>
                <w:lang w:val="ru-RU" w:eastAsia="uk"/>
              </w:rPr>
              <w:lastRenderedPageBreak/>
              <w:t>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7. Особа, яку акціонер має намір уповноважити на участь у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Особа вважається такою, що має конфлікт інтересів, якщо вона, зокрема, є:</w:t>
            </w:r>
          </w:p>
          <w:p w:rsidR="000E33D9" w:rsidRPr="00490E91" w:rsidRDefault="000E33D9" w:rsidP="00855E73">
            <w:pPr>
              <w:pStyle w:val="rvps12"/>
              <w:jc w:val="left"/>
              <w:rPr>
                <w:rStyle w:val="spanrvts0"/>
                <w:lang w:val="ru-RU" w:eastAsia="uk"/>
              </w:rPr>
            </w:pPr>
            <w:r w:rsidRPr="00490E91">
              <w:rPr>
                <w:rStyle w:val="spanrvts0"/>
                <w:lang w:val="ru-RU" w:eastAsia="uk"/>
              </w:rPr>
              <w:t>1) власником контрольного пакета акцій такого акціонерного товариства або іншою особою, яка перебуває під контролем такого власника;</w:t>
            </w:r>
          </w:p>
          <w:p w:rsidR="000E33D9" w:rsidRPr="00490E91" w:rsidRDefault="000E33D9" w:rsidP="00855E73">
            <w:pPr>
              <w:pStyle w:val="rvps12"/>
              <w:jc w:val="left"/>
              <w:rPr>
                <w:rStyle w:val="spanrvts0"/>
                <w:lang w:val="ru-RU" w:eastAsia="uk"/>
              </w:rPr>
            </w:pPr>
            <w:r w:rsidRPr="00490E91">
              <w:rPr>
                <w:rStyle w:val="spanrvts0"/>
                <w:lang w:val="ru-RU" w:eastAsia="uk"/>
              </w:rPr>
              <w:t>2) членом виконавчого органу або наглядової ради, ради директорів:</w:t>
            </w:r>
          </w:p>
          <w:p w:rsidR="000E33D9" w:rsidRPr="00490E91" w:rsidRDefault="000E33D9" w:rsidP="00855E73">
            <w:pPr>
              <w:pStyle w:val="rvps12"/>
              <w:jc w:val="left"/>
              <w:rPr>
                <w:rStyle w:val="spanrvts0"/>
                <w:lang w:val="ru-RU" w:eastAsia="uk"/>
              </w:rPr>
            </w:pPr>
            <w:r w:rsidRPr="00490E91">
              <w:rPr>
                <w:rStyle w:val="spanrvts0"/>
                <w:lang w:val="ru-RU" w:eastAsia="uk"/>
              </w:rPr>
              <w:t>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3) працівником або ключовим партнером з аудиту будь-якої з таких юридичних осіб:</w:t>
            </w:r>
          </w:p>
          <w:p w:rsidR="000E33D9" w:rsidRPr="00490E91" w:rsidRDefault="000E33D9" w:rsidP="00855E73">
            <w:pPr>
              <w:pStyle w:val="rvps12"/>
              <w:jc w:val="left"/>
              <w:rPr>
                <w:rStyle w:val="spanrvts0"/>
                <w:lang w:val="ru-RU" w:eastAsia="uk"/>
              </w:rPr>
            </w:pPr>
            <w:r w:rsidRPr="00490E91">
              <w:rPr>
                <w:rStyle w:val="spanrvts0"/>
                <w:lang w:val="ru-RU" w:eastAsia="uk"/>
              </w:rPr>
              <w:t>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юридичної особи - іншого акціонера, який є власником контрольного пакета акцій 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юридичної особи, яка перебуває під контролем власника контрольного пакета акцій такого акціонерного товариства;</w:t>
            </w:r>
          </w:p>
          <w:p w:rsidR="000E33D9" w:rsidRPr="00490E91" w:rsidRDefault="000E33D9" w:rsidP="00855E73">
            <w:pPr>
              <w:pStyle w:val="rvps12"/>
              <w:jc w:val="left"/>
              <w:rPr>
                <w:rStyle w:val="spanrvts0"/>
                <w:lang w:val="ru-RU" w:eastAsia="uk"/>
              </w:rPr>
            </w:pPr>
            <w:r w:rsidRPr="00490E91">
              <w:rPr>
                <w:rStyle w:val="spanrvts0"/>
                <w:lang w:val="ru-RU" w:eastAsia="uk"/>
              </w:rPr>
              <w:t>4) особою, пов'язаною родинними відносинами з будь-якою фізичною особою, зазначеною у пунктах 1-3 цієї частини.</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0E33D9" w:rsidRPr="00490E91" w:rsidRDefault="000E33D9" w:rsidP="00855E73">
            <w:pPr>
              <w:pStyle w:val="rvps12"/>
              <w:jc w:val="left"/>
              <w:rPr>
                <w:rStyle w:val="spanrvts0"/>
                <w:lang w:val="ru-RU" w:eastAsia="uk"/>
              </w:rPr>
            </w:pPr>
            <w:r w:rsidRPr="00490E91">
              <w:rPr>
                <w:rStyle w:val="spanrvts0"/>
                <w:lang w:val="ru-RU" w:eastAsia="uk"/>
              </w:rPr>
              <w:t>Потенційний представник, який отримав довіреність, повинен відмовитися від представництва у разі невиконання вимог цієї частини.</w:t>
            </w:r>
          </w:p>
          <w:p w:rsidR="000E33D9" w:rsidRPr="00490E91" w:rsidRDefault="000E33D9" w:rsidP="00855E73">
            <w:pPr>
              <w:pStyle w:val="rvps12"/>
              <w:jc w:val="left"/>
              <w:rPr>
                <w:rStyle w:val="spanrvts0"/>
                <w:lang w:val="ru-RU" w:eastAsia="uk"/>
              </w:rPr>
            </w:pPr>
          </w:p>
          <w:p w:rsidR="000E33D9" w:rsidRPr="00490E91" w:rsidRDefault="000E33D9" w:rsidP="00855E73">
            <w:pPr>
              <w:pStyle w:val="rvps12"/>
              <w:jc w:val="left"/>
              <w:rPr>
                <w:rStyle w:val="spanrvts0"/>
                <w:lang w:val="ru-RU" w:eastAsia="uk"/>
              </w:rPr>
            </w:pPr>
            <w:r w:rsidRPr="00490E91">
              <w:rPr>
                <w:rStyle w:val="spanrvts0"/>
                <w:lang w:val="ru-RU" w:eastAsia="uk"/>
              </w:rPr>
              <w:t xml:space="preserve">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w:t>
            </w:r>
            <w:r w:rsidRPr="00490E91">
              <w:rPr>
                <w:rStyle w:val="spanrvts0"/>
                <w:lang w:val="ru-RU" w:eastAsia="uk"/>
              </w:rPr>
              <w:lastRenderedPageBreak/>
              <w:t>голосування за кожного акціонера, якого він представляє.</w:t>
            </w:r>
          </w:p>
          <w:p w:rsidR="00230FCE" w:rsidRPr="00490E91" w:rsidRDefault="00230FCE" w:rsidP="00855E73">
            <w:pPr>
              <w:pStyle w:val="rvps12"/>
              <w:jc w:val="left"/>
              <w:rPr>
                <w:rStyle w:val="spanrvts0"/>
                <w:lang w:val="ru-RU"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Дата і час початку та завершення голосування за допомогою авторизованої електронної системи</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0E33D9">
              <w:rPr>
                <w:rStyle w:val="spanrvts0"/>
                <w:lang w:eastAsia="uk"/>
              </w:rPr>
              <w:t xml:space="preserve"> </w:t>
            </w:r>
          </w:p>
          <w:p w:rsidR="00855E73" w:rsidRPr="00855E73" w:rsidRDefault="00855E73" w:rsidP="00EB1242">
            <w:pPr>
              <w:pStyle w:val="rvps14"/>
              <w:rPr>
                <w:rStyle w:val="spanrvts0"/>
                <w:lang w:eastAsia="uk"/>
              </w:rPr>
            </w:pPr>
            <w:r>
              <w:rPr>
                <w:rStyle w:val="spanrvts0"/>
                <w:lang w:eastAsia="uk"/>
              </w:rPr>
              <w:t xml:space="preserve"> </w:t>
            </w:r>
            <w:r w:rsidR="000E33D9">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та завершення надсилання до депозитарної установи бюлетенів для голосування</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0E33D9">
              <w:rPr>
                <w:rStyle w:val="spanrvts0"/>
                <w:lang w:eastAsia="uk"/>
              </w:rPr>
              <w:t>19.06.2025 11:00</w:t>
            </w:r>
          </w:p>
          <w:p w:rsidR="00855E73" w:rsidRPr="00855E73" w:rsidRDefault="00855E73" w:rsidP="00EB1242">
            <w:pPr>
              <w:pStyle w:val="rvps14"/>
              <w:rPr>
                <w:rStyle w:val="spanrvts0"/>
                <w:lang w:eastAsia="uk"/>
              </w:rPr>
            </w:pPr>
            <w:r>
              <w:rPr>
                <w:rStyle w:val="spanrvts0"/>
                <w:lang w:eastAsia="uk"/>
              </w:rPr>
              <w:t xml:space="preserve"> </w:t>
            </w:r>
            <w:r w:rsidR="000E33D9">
              <w:rPr>
                <w:rStyle w:val="spanrvts0"/>
                <w:lang w:eastAsia="uk"/>
              </w:rPr>
              <w:t>30.06.2025 18:00</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Дані про мету зменшення розміру статутного капіталу та спосіб, у який буде проведено таку процедуру</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sidRPr="00810F71">
              <w:rPr>
                <w:rStyle w:val="spanrvts0"/>
                <w:lang w:val="ru-RU" w:eastAsia="uk"/>
              </w:rPr>
              <w:t xml:space="preserve"> </w:t>
            </w:r>
            <w:r w:rsidR="000E33D9">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Інші відомості, передбачені законодавством</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0E33D9" w:rsidRPr="00490E91" w:rsidRDefault="00C7694B" w:rsidP="00EB1242">
            <w:pPr>
              <w:pStyle w:val="rvps14"/>
              <w:rPr>
                <w:rStyle w:val="spanrvts0"/>
                <w:lang w:val="ru-RU" w:eastAsia="uk"/>
              </w:rPr>
            </w:pPr>
            <w:r w:rsidRPr="00490E91">
              <w:rPr>
                <w:rStyle w:val="spanrvts0"/>
                <w:lang w:val="ru-RU" w:eastAsia="uk"/>
              </w:rPr>
              <w:t xml:space="preserve"> </w:t>
            </w:r>
            <w:r w:rsidR="000E33D9" w:rsidRPr="00490E91">
              <w:rPr>
                <w:rStyle w:val="spanrvts0"/>
                <w:lang w:val="ru-RU" w:eastAsia="uk"/>
              </w:rPr>
              <w:t xml:space="preserve">Наглядовою радою Товариства 21 травня 2025 року прийнято рішення про скликання позачергових загальних зборів акціонерів Товариства та дистанційне їх проведення. </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30 червня 2025 року - дата дистанційного проведення позачергових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 xml:space="preserve">Голосування на Загальних зборах з питань порядку денного проводиться виключно з використанням бюлетенів для голосування. </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 xml:space="preserve">19 червня 2025 року - дата розміщення бюлетеню для голосування (щодо інших питань  порядку денного, крім обрання органів товариства) у вільному для акціонерів доступі на власному веб-сайті ПРАТ "ДОІРЕА" </w:t>
            </w:r>
            <w:r>
              <w:rPr>
                <w:rStyle w:val="spanrvts0"/>
                <w:lang w:eastAsia="uk"/>
              </w:rPr>
              <w:t>https</w:t>
            </w:r>
            <w:r w:rsidRPr="00490E91">
              <w:rPr>
                <w:rStyle w:val="spanrvts0"/>
                <w:lang w:val="ru-RU" w:eastAsia="uk"/>
              </w:rPr>
              <w:t>://03598943.</w:t>
            </w:r>
            <w:r>
              <w:rPr>
                <w:rStyle w:val="spanrvts0"/>
                <w:lang w:eastAsia="uk"/>
              </w:rPr>
              <w:t>emitent</w:t>
            </w:r>
            <w:r w:rsidRPr="00490E91">
              <w:rPr>
                <w:rStyle w:val="spanrvts0"/>
                <w:lang w:val="ru-RU" w:eastAsia="uk"/>
              </w:rPr>
              <w:t>.</w:t>
            </w:r>
            <w:r>
              <w:rPr>
                <w:rStyle w:val="spanrvts0"/>
                <w:lang w:eastAsia="uk"/>
              </w:rPr>
              <w:t>net</w:t>
            </w:r>
            <w:r w:rsidRPr="00490E91">
              <w:rPr>
                <w:rStyle w:val="spanrvts0"/>
                <w:lang w:val="ru-RU" w:eastAsia="uk"/>
              </w:rPr>
              <w:t>.</w:t>
            </w:r>
            <w:r>
              <w:rPr>
                <w:rStyle w:val="spanrvts0"/>
                <w:lang w:eastAsia="uk"/>
              </w:rPr>
              <w:t>ua</w:t>
            </w:r>
            <w:r w:rsidRPr="00490E91">
              <w:rPr>
                <w:rStyle w:val="spanrvts0"/>
                <w:lang w:val="ru-RU" w:eastAsia="uk"/>
              </w:rPr>
              <w:t xml:space="preserve"> за посиланням </w:t>
            </w:r>
            <w:r>
              <w:rPr>
                <w:rStyle w:val="spanrvts0"/>
                <w:lang w:eastAsia="uk"/>
              </w:rPr>
              <w:t>https</w:t>
            </w:r>
            <w:r w:rsidRPr="00490E91">
              <w:rPr>
                <w:rStyle w:val="spanrvts0"/>
                <w:lang w:val="ru-RU" w:eastAsia="uk"/>
              </w:rPr>
              <w:t>://03598943.</w:t>
            </w:r>
            <w:r>
              <w:rPr>
                <w:rStyle w:val="spanrvts0"/>
                <w:lang w:eastAsia="uk"/>
              </w:rPr>
              <w:t>emitent</w:t>
            </w:r>
            <w:r w:rsidRPr="00490E91">
              <w:rPr>
                <w:rStyle w:val="spanrvts0"/>
                <w:lang w:val="ru-RU" w:eastAsia="uk"/>
              </w:rPr>
              <w:t>.</w:t>
            </w:r>
            <w:r>
              <w:rPr>
                <w:rStyle w:val="spanrvts0"/>
                <w:lang w:eastAsia="uk"/>
              </w:rPr>
              <w:t>net</w:t>
            </w:r>
            <w:r w:rsidRPr="00490E91">
              <w:rPr>
                <w:rStyle w:val="spanrvts0"/>
                <w:lang w:val="ru-RU" w:eastAsia="uk"/>
              </w:rPr>
              <w:t>.</w:t>
            </w:r>
            <w:r>
              <w:rPr>
                <w:rStyle w:val="spanrvts0"/>
                <w:lang w:eastAsia="uk"/>
              </w:rPr>
              <w:t>ua</w:t>
            </w:r>
            <w:r w:rsidRPr="00490E91">
              <w:rPr>
                <w:rStyle w:val="spanrvts0"/>
                <w:lang w:val="ru-RU" w:eastAsia="uk"/>
              </w:rPr>
              <w:t xml:space="preserve"> (розділ "Інша Інформація/Завантажені файли").</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Бюлетені приймаються виключно до 18-00 30.06.2025 р.</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 xml:space="preserve">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ПРАТ </w:t>
            </w:r>
            <w:r w:rsidRPr="00490E91">
              <w:rPr>
                <w:rStyle w:val="spanrvts0"/>
                <w:lang w:val="ru-RU" w:eastAsia="uk"/>
              </w:rPr>
              <w:lastRenderedPageBreak/>
              <w:t>"ДОІРЕА".</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Бюлетень для голосування на загальних зборах засвідчується кваліфікованим електронним підписом або удосконаленим електронним підписом, що базується на кваліфікованому сертифікаті електронного підпису акціонера (його представника).</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 xml:space="preserve">ПРАТ "ДОІРЕА"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0E33D9" w:rsidRPr="00490E91" w:rsidRDefault="000E33D9" w:rsidP="00EB1242">
            <w:pPr>
              <w:pStyle w:val="rvps14"/>
              <w:rPr>
                <w:rStyle w:val="spanrvts0"/>
                <w:lang w:val="ru-RU" w:eastAsia="uk"/>
              </w:rPr>
            </w:pPr>
          </w:p>
          <w:p w:rsidR="000E33D9" w:rsidRPr="00490E91" w:rsidRDefault="000E33D9" w:rsidP="00EB1242">
            <w:pPr>
              <w:pStyle w:val="rvps14"/>
              <w:rPr>
                <w:rStyle w:val="spanrvts0"/>
                <w:lang w:val="ru-RU" w:eastAsia="uk"/>
              </w:rPr>
            </w:pPr>
            <w:r w:rsidRPr="00490E91">
              <w:rPr>
                <w:rStyle w:val="spanrvts0"/>
                <w:lang w:val="ru-RU" w:eastAsia="uk"/>
              </w:rPr>
              <w:t>Телефон для довідок: +38 050 4806168,  відповідальна особа Терещенко Сергій Іванович.</w:t>
            </w:r>
          </w:p>
          <w:p w:rsidR="00230FCE" w:rsidRPr="00490E91" w:rsidRDefault="00230FCE" w:rsidP="00EB1242">
            <w:pPr>
              <w:pStyle w:val="rvps14"/>
              <w:rPr>
                <w:rStyle w:val="spanrvts0"/>
                <w:lang w:val="ru-RU"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490E91" w:rsidRDefault="00C7694B" w:rsidP="00EB1242">
            <w:pPr>
              <w:pStyle w:val="rvps14"/>
              <w:rPr>
                <w:rStyle w:val="spanrvts0"/>
                <w:lang w:val="ru-RU" w:eastAsia="uk"/>
              </w:rPr>
            </w:pPr>
            <w:r w:rsidRPr="00810F71">
              <w:rPr>
                <w:rStyle w:val="spanrvts0"/>
                <w:lang w:val="ru-RU" w:eastAsia="uk"/>
              </w:rPr>
              <w:t xml:space="preserve"> </w:t>
            </w:r>
            <w:r w:rsidR="000E33D9" w:rsidRPr="00490E91">
              <w:rPr>
                <w:rStyle w:val="spanrvts0"/>
                <w:lang w:val="ru-RU" w:eastAsia="uk"/>
              </w:rPr>
              <w:t>Протокол засідання Наглядової ради ПРАТ "ДОІРЕА" № 121</w:t>
            </w:r>
          </w:p>
          <w:p w:rsidR="00C7694B" w:rsidRPr="00C7694B" w:rsidRDefault="00C7694B" w:rsidP="00EB1242">
            <w:pPr>
              <w:pStyle w:val="rvps14"/>
              <w:rPr>
                <w:rStyle w:val="spanrvts0"/>
                <w:lang w:eastAsia="uk"/>
              </w:rPr>
            </w:pPr>
            <w:r w:rsidRPr="00490E91">
              <w:rPr>
                <w:rStyle w:val="spanrvts0"/>
                <w:lang w:val="ru-RU" w:eastAsia="uk"/>
              </w:rPr>
              <w:t xml:space="preserve"> </w:t>
            </w:r>
            <w:r w:rsidR="000E33D9">
              <w:rPr>
                <w:rStyle w:val="spanrvts0"/>
                <w:lang w:eastAsia="uk"/>
              </w:rPr>
              <w:t>21.05.2025</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складання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Pr>
                <w:rStyle w:val="spanrvts0"/>
                <w:lang w:eastAsia="uk"/>
              </w:rPr>
              <w:t xml:space="preserve"> </w:t>
            </w:r>
            <w:r w:rsidR="000E33D9">
              <w:rPr>
                <w:rStyle w:val="spanrvts0"/>
                <w:lang w:eastAsia="uk"/>
              </w:rPr>
              <w:t>21.05.2025</w:t>
            </w:r>
          </w:p>
        </w:tc>
      </w:tr>
    </w:tbl>
    <w:p w:rsidR="00337465" w:rsidRPr="00230FCE" w:rsidRDefault="00337465" w:rsidP="00230FCE">
      <w:pPr>
        <w:pStyle w:val="rvps14"/>
        <w:spacing w:before="150" w:after="150"/>
        <w:rPr>
          <w:lang w:val="uk"/>
        </w:rPr>
      </w:pPr>
    </w:p>
    <w:sectPr w:rsidR="00337465" w:rsidRPr="00230FCE" w:rsidSect="000E33D9">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3D9"/>
    <w:rsid w:val="000E33D9"/>
    <w:rsid w:val="00230FCE"/>
    <w:rsid w:val="002424A1"/>
    <w:rsid w:val="00337465"/>
    <w:rsid w:val="00490E91"/>
    <w:rsid w:val="00810F71"/>
    <w:rsid w:val="00855E73"/>
    <w:rsid w:val="00AA2A4D"/>
    <w:rsid w:val="00B8206F"/>
    <w:rsid w:val="00C7694B"/>
    <w:rsid w:val="00EB1242"/>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openxmlformats.org/officeDocument/2006/relationships/settings" Target="settings.xml"/><Relationship Id="rId7" Type="http://schemas.openxmlformats.org/officeDocument/2006/relationships/hyperlink" Target="https://zakon.rada.gov.ua/laws/file/imgs/109/p529494n1280-29.em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file/imgs/109/p529494n1280-28.emf" TargetMode="External"/><Relationship Id="rId11" Type="http://schemas.openxmlformats.org/officeDocument/2006/relationships/fontTable" Target="fontTable.xml"/><Relationship Id="rId5" Type="http://schemas.openxmlformats.org/officeDocument/2006/relationships/hyperlink" Target="https://zakon.rada.gov.ua/laws/file/imgs/109/p529494n1280-27.emf" TargetMode="External"/><Relationship Id="rId10" Type="http://schemas.openxmlformats.org/officeDocument/2006/relationships/hyperlink" Target="https://zakon.rada.gov.ua/laws/show/2465-20" TargetMode="External"/><Relationship Id="rId4" Type="http://schemas.openxmlformats.org/officeDocument/2006/relationships/webSettings" Target="webSettings.xml"/><Relationship Id="rId9" Type="http://schemas.openxmlformats.org/officeDocument/2006/relationships/hyperlink" Target="https://zakon.rada.gov.ua/laws/show/246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zza.dot</Template>
  <TotalTime>1</TotalTime>
  <Pages>7</Pages>
  <Words>2183</Words>
  <Characters>12447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14601</CharactersWithSpaces>
  <SharedDoc>false</SharedDoc>
  <HLinks>
    <vt:vector size="36" baseType="variant">
      <vt:variant>
        <vt:i4>6881395</vt:i4>
      </vt:variant>
      <vt:variant>
        <vt:i4>15</vt:i4>
      </vt:variant>
      <vt:variant>
        <vt:i4>0</vt:i4>
      </vt:variant>
      <vt:variant>
        <vt:i4>5</vt:i4>
      </vt:variant>
      <vt:variant>
        <vt:lpwstr>https://zakon.rada.gov.ua/laws/show/2465-20</vt:lpwstr>
      </vt:variant>
      <vt:variant>
        <vt:lpwstr>n283</vt:lpwstr>
      </vt:variant>
      <vt:variant>
        <vt:i4>7209084</vt:i4>
      </vt:variant>
      <vt:variant>
        <vt:i4>12</vt:i4>
      </vt:variant>
      <vt:variant>
        <vt:i4>0</vt:i4>
      </vt:variant>
      <vt:variant>
        <vt:i4>5</vt:i4>
      </vt:variant>
      <vt:variant>
        <vt:lpwstr>https://zakon.rada.gov.ua/laws/show/2465-20</vt:lpwstr>
      </vt:variant>
      <vt:variant>
        <vt:lpwstr>n274</vt:lpwstr>
      </vt:variant>
      <vt:variant>
        <vt:i4>7012475</vt:i4>
      </vt:variant>
      <vt:variant>
        <vt:i4>9</vt:i4>
      </vt:variant>
      <vt:variant>
        <vt:i4>0</vt:i4>
      </vt:variant>
      <vt:variant>
        <vt:i4>5</vt:i4>
      </vt:variant>
      <vt:variant>
        <vt:lpwstr>https://zakon.rada.gov.ua/laws/show/2465-20</vt:lpwstr>
      </vt:variant>
      <vt:variant>
        <vt:lpwstr>n506</vt:lpwstr>
      </vt:variant>
      <vt:variant>
        <vt:i4>458761</vt:i4>
      </vt:variant>
      <vt:variant>
        <vt:i4>6</vt:i4>
      </vt:variant>
      <vt:variant>
        <vt:i4>0</vt:i4>
      </vt:variant>
      <vt:variant>
        <vt:i4>5</vt:i4>
      </vt:variant>
      <vt:variant>
        <vt:lpwstr>https://zakon.rada.gov.ua/laws/file/imgs/109/p529494n1280-29.emf</vt:lpwstr>
      </vt:variant>
      <vt:variant>
        <vt:lpwstr/>
      </vt:variant>
      <vt:variant>
        <vt:i4>393225</vt:i4>
      </vt:variant>
      <vt:variant>
        <vt:i4>3</vt:i4>
      </vt:variant>
      <vt:variant>
        <vt:i4>0</vt:i4>
      </vt:variant>
      <vt:variant>
        <vt:i4>5</vt:i4>
      </vt:variant>
      <vt:variant>
        <vt:lpwstr>https://zakon.rada.gov.ua/laws/file/imgs/109/p529494n1280-28.emf</vt:lpwstr>
      </vt:variant>
      <vt:variant>
        <vt:lpwstr/>
      </vt:variant>
      <vt:variant>
        <vt:i4>589833</vt:i4>
      </vt:variant>
      <vt:variant>
        <vt:i4>0</vt:i4>
      </vt:variant>
      <vt:variant>
        <vt:i4>0</vt:i4>
      </vt:variant>
      <vt:variant>
        <vt:i4>5</vt:i4>
      </vt:variant>
      <vt:variant>
        <vt:lpwstr>https://zakon.rada.gov.ua/laws/file/imgs/109/p529494n1280-27.emf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2025-06-05T09:47:00Z</dcterms:created>
  <dcterms:modified xsi:type="dcterms:W3CDTF">2025-06-05T09:47:00Z</dcterms:modified>
</cp:coreProperties>
</file>