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2E" w:rsidRPr="00905B40" w:rsidRDefault="00DC572E" w:rsidP="00DC572E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Times New Roman"/>
          <w:b/>
          <w:bCs/>
          <w:spacing w:val="20"/>
          <w:sz w:val="28"/>
          <w:szCs w:val="28"/>
          <w:lang w:eastAsia="uk-UA"/>
        </w:rPr>
      </w:pPr>
      <w:r w:rsidRPr="00905B40">
        <w:rPr>
          <w:b/>
          <w:noProof/>
          <w:sz w:val="20"/>
          <w:szCs w:val="20"/>
          <w:lang w:eastAsia="uk-UA"/>
        </w:rPr>
        <w:drawing>
          <wp:inline distT="0" distB="0" distL="0" distR="0" wp14:anchorId="24E31B7A" wp14:editId="37A1D669">
            <wp:extent cx="3514725" cy="428625"/>
            <wp:effectExtent l="0" t="0" r="9525" b="9525"/>
            <wp:docPr id="1" name="Рисунок 1" descr="b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72E" w:rsidRPr="00905B40" w:rsidRDefault="00DC572E" w:rsidP="00DC572E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Times New Roman"/>
          <w:b/>
          <w:bCs/>
          <w:spacing w:val="20"/>
          <w:sz w:val="28"/>
          <w:szCs w:val="28"/>
          <w:lang w:eastAsia="uk-UA"/>
        </w:rPr>
      </w:pPr>
    </w:p>
    <w:p w:rsidR="00567CA8" w:rsidRPr="00905B40" w:rsidRDefault="00567CA8" w:rsidP="00DC572E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uk-UA"/>
        </w:rPr>
      </w:pPr>
      <w:r w:rsidRPr="00905B40">
        <w:rPr>
          <w:rFonts w:ascii="Garamond" w:eastAsia="Times New Roman" w:hAnsi="Garamond" w:cs="Times New Roman"/>
          <w:b/>
          <w:bCs/>
          <w:spacing w:val="20"/>
          <w:sz w:val="32"/>
          <w:szCs w:val="32"/>
          <w:lang w:eastAsia="uk-UA"/>
        </w:rPr>
        <w:t>ПОВІДОМЛЕННЯ</w:t>
      </w:r>
      <w:r w:rsidRPr="00905B40">
        <w:rPr>
          <w:rFonts w:ascii="Garamond" w:eastAsia="Times New Roman" w:hAnsi="Garamond" w:cs="Times New Roman"/>
          <w:b/>
          <w:spacing w:val="20"/>
          <w:sz w:val="32"/>
          <w:szCs w:val="32"/>
          <w:lang w:eastAsia="uk-UA"/>
        </w:rPr>
        <w:br/>
      </w:r>
      <w:r w:rsidRPr="00905B40">
        <w:rPr>
          <w:rFonts w:ascii="Garamond" w:eastAsia="Times New Roman" w:hAnsi="Garamond" w:cs="Times New Roman"/>
          <w:b/>
          <w:bCs/>
          <w:lang w:eastAsia="uk-UA"/>
        </w:rPr>
        <w:t>про проведення (скликання) загальних зборів акціонерного товариства</w:t>
      </w:r>
    </w:p>
    <w:p w:rsidR="00DC572E" w:rsidRPr="00905B40" w:rsidRDefault="00DC572E" w:rsidP="00DC572E">
      <w:pPr>
        <w:shd w:val="clear" w:color="auto" w:fill="FFFFFF"/>
        <w:spacing w:after="0" w:line="240" w:lineRule="auto"/>
        <w:jc w:val="center"/>
        <w:rPr>
          <w:rFonts w:ascii="Garamond" w:eastAsia="Times New Roman" w:hAnsi="Garamond" w:cs="Times New Roman"/>
          <w:b/>
          <w:lang w:eastAsia="uk-UA"/>
        </w:rPr>
      </w:pPr>
    </w:p>
    <w:tbl>
      <w:tblPr>
        <w:tblStyle w:val="-11"/>
        <w:tblW w:w="5522" w:type="pct"/>
        <w:tblInd w:w="-714" w:type="dxa"/>
        <w:tblLook w:val="04A0" w:firstRow="1" w:lastRow="0" w:firstColumn="1" w:lastColumn="0" w:noHBand="0" w:noVBand="1"/>
      </w:tblPr>
      <w:tblGrid>
        <w:gridCol w:w="3545"/>
        <w:gridCol w:w="7087"/>
      </w:tblGrid>
      <w:tr w:rsidR="00905B40" w:rsidRPr="00BC2259" w:rsidTr="00905B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jc w:val="center"/>
              <w:rPr>
                <w:rFonts w:ascii="Garamond" w:eastAsia="Times New Roman" w:hAnsi="Garamond" w:cs="Times New Roman"/>
                <w:b w:val="0"/>
                <w:lang w:eastAsia="uk-UA"/>
              </w:rPr>
            </w:pPr>
            <w:bookmarkStart w:id="0" w:name="n1280"/>
            <w:bookmarkEnd w:id="0"/>
            <w:r w:rsidRPr="00BC2259">
              <w:rPr>
                <w:rFonts w:ascii="Garamond" w:eastAsia="Times New Roman" w:hAnsi="Garamond" w:cs="Times New Roman"/>
                <w:b w:val="0"/>
                <w:lang w:eastAsia="uk-UA"/>
              </w:rPr>
              <w:t>1</w:t>
            </w:r>
          </w:p>
        </w:tc>
        <w:tc>
          <w:tcPr>
            <w:tcW w:w="3333" w:type="pct"/>
            <w:vAlign w:val="center"/>
            <w:hideMark/>
          </w:tcPr>
          <w:p w:rsidR="00567CA8" w:rsidRPr="00BC2259" w:rsidRDefault="00567CA8" w:rsidP="00DC57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 w:val="0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b w:val="0"/>
                <w:lang w:eastAsia="uk-UA"/>
              </w:rPr>
              <w:t>2</w:t>
            </w:r>
          </w:p>
        </w:tc>
      </w:tr>
      <w:tr w:rsidR="00905B40" w:rsidRPr="00BC2259" w:rsidTr="00BC2259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Повне найменування</w:t>
            </w:r>
          </w:p>
        </w:tc>
        <w:tc>
          <w:tcPr>
            <w:tcW w:w="3333" w:type="pct"/>
            <w:vAlign w:val="center"/>
            <w:hideMark/>
          </w:tcPr>
          <w:p w:rsidR="00567CA8" w:rsidRPr="00BC2259" w:rsidRDefault="00844FE1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/>
                <w:lang w:eastAsia="uk-UA"/>
              </w:rPr>
            </w:pPr>
            <w:r w:rsidRPr="00BC2259">
              <w:rPr>
                <w:rFonts w:ascii="Garamond" w:hAnsi="Garamond"/>
                <w:b/>
                <w:lang w:val="ru-RU"/>
              </w:rPr>
              <w:t xml:space="preserve">ПРИВАТНЕ АКЦІОНЕРНЕ ТОВАРИСТВО </w:t>
            </w:r>
            <w:bookmarkStart w:id="1" w:name="_GoBack"/>
            <w:bookmarkEnd w:id="1"/>
            <w:r w:rsidRPr="00BC2259">
              <w:rPr>
                <w:rFonts w:ascii="Garamond" w:hAnsi="Garamond"/>
                <w:b/>
                <w:lang w:val="ru-RU"/>
              </w:rPr>
              <w:t>«</w:t>
            </w:r>
            <w:r w:rsidRPr="00BC2259">
              <w:rPr>
                <w:rFonts w:ascii="Garamond" w:hAnsi="Garamond"/>
                <w:b/>
                <w:bCs/>
                <w:spacing w:val="-10"/>
                <w:lang w:val="ru-RU"/>
              </w:rPr>
              <w:t>ВОЛИНЬОБЛЕНЕРГ</w:t>
            </w:r>
            <w:r w:rsidRPr="00BC2259">
              <w:rPr>
                <w:rFonts w:ascii="Garamond" w:hAnsi="Garamond"/>
                <w:b/>
                <w:bCs/>
                <w:spacing w:val="-10"/>
              </w:rPr>
              <w:t>О</w:t>
            </w:r>
            <w:r w:rsidRPr="00BC2259">
              <w:rPr>
                <w:rFonts w:ascii="Garamond" w:hAnsi="Garamond"/>
                <w:b/>
                <w:lang w:val="ru-RU"/>
              </w:rPr>
              <w:t>»</w:t>
            </w:r>
          </w:p>
        </w:tc>
      </w:tr>
      <w:tr w:rsidR="00905B40" w:rsidRPr="00BC2259" w:rsidTr="00905B4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Ідентифікаційний код юридичної особи</w:t>
            </w:r>
          </w:p>
        </w:tc>
        <w:tc>
          <w:tcPr>
            <w:tcW w:w="3333" w:type="pct"/>
            <w:vAlign w:val="center"/>
            <w:hideMark/>
          </w:tcPr>
          <w:p w:rsidR="00567CA8" w:rsidRPr="00BC2259" w:rsidRDefault="00844FE1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/>
                <w:lang w:eastAsia="uk-UA"/>
              </w:rPr>
            </w:pPr>
            <w:r w:rsidRPr="00BC2259">
              <w:rPr>
                <w:rFonts w:ascii="Garamond" w:hAnsi="Garamond"/>
                <w:b/>
                <w:lang w:val="ru-RU"/>
              </w:rPr>
              <w:t>00131512</w:t>
            </w:r>
          </w:p>
        </w:tc>
      </w:tr>
      <w:tr w:rsidR="00905B40" w:rsidRPr="00BC2259" w:rsidTr="00905B40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Місцезнаходження</w:t>
            </w:r>
          </w:p>
        </w:tc>
        <w:tc>
          <w:tcPr>
            <w:tcW w:w="3333" w:type="pct"/>
            <w:vAlign w:val="center"/>
            <w:hideMark/>
          </w:tcPr>
          <w:p w:rsidR="00DC572E" w:rsidRPr="00BC2259" w:rsidRDefault="00844FE1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r w:rsidRPr="00BC2259">
              <w:rPr>
                <w:rFonts w:ascii="Garamond" w:hAnsi="Garamond"/>
                <w:lang w:val="ru-RU"/>
              </w:rPr>
              <w:t xml:space="preserve">43024,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Україна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Волинська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обл.,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Луцький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район,</w:t>
            </w:r>
          </w:p>
          <w:p w:rsidR="00567CA8" w:rsidRPr="00BC2259" w:rsidRDefault="00844FE1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hAnsi="Garamond"/>
                <w:lang w:val="ru-RU"/>
              </w:rPr>
              <w:t xml:space="preserve">м.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Луцьк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вул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  <w:r w:rsidRPr="00BC2259">
              <w:rPr>
                <w:rFonts w:ascii="Garamond" w:hAnsi="Garamond"/>
              </w:rPr>
              <w:t>Яремчука Назарія</w:t>
            </w:r>
            <w:r w:rsidRPr="00BC2259">
              <w:rPr>
                <w:rFonts w:ascii="Garamond" w:hAnsi="Garamond"/>
                <w:lang w:val="ru-RU"/>
              </w:rPr>
              <w:t>, буд. 4</w:t>
            </w:r>
          </w:p>
        </w:tc>
      </w:tr>
      <w:tr w:rsidR="00905B40" w:rsidRPr="00BC2259" w:rsidTr="00905B40">
        <w:trPr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Дата і час початку проведення загальних зборів</w:t>
            </w:r>
          </w:p>
        </w:tc>
        <w:tc>
          <w:tcPr>
            <w:tcW w:w="3333" w:type="pct"/>
            <w:vAlign w:val="center"/>
            <w:hideMark/>
          </w:tcPr>
          <w:p w:rsidR="00DC572E" w:rsidRPr="00BC2259" w:rsidRDefault="00844FE1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b/>
                <w:lang w:eastAsia="uk-UA"/>
              </w:rPr>
              <w:t xml:space="preserve">з </w:t>
            </w:r>
            <w:r w:rsidR="00905B40" w:rsidRPr="00BC2259">
              <w:rPr>
                <w:rFonts w:ascii="Garamond" w:eastAsia="Times New Roman" w:hAnsi="Garamond" w:cs="Times New Roman"/>
                <w:b/>
                <w:lang w:eastAsia="uk-UA"/>
              </w:rPr>
              <w:t>20.04.2025</w:t>
            </w:r>
            <w:r w:rsidRPr="00BC2259">
              <w:rPr>
                <w:rFonts w:ascii="Garamond" w:eastAsia="Times New Roman" w:hAnsi="Garamond" w:cs="Times New Roman"/>
                <w:b/>
                <w:lang w:eastAsia="uk-UA"/>
              </w:rPr>
              <w:t xml:space="preserve"> 11:00 (розміщенн</w:t>
            </w:r>
            <w:r w:rsidR="008918DC" w:rsidRPr="00BC2259">
              <w:rPr>
                <w:rFonts w:ascii="Garamond" w:eastAsia="Times New Roman" w:hAnsi="Garamond" w:cs="Times New Roman"/>
                <w:b/>
                <w:lang w:eastAsia="uk-UA"/>
              </w:rPr>
              <w:t>я бюлетеня</w:t>
            </w:r>
            <w:r w:rsidR="00BC2259">
              <w:rPr>
                <w:rFonts w:ascii="Garamond" w:eastAsia="Times New Roman" w:hAnsi="Garamond" w:cs="Times New Roman"/>
                <w:b/>
                <w:lang w:eastAsia="uk-UA"/>
              </w:rPr>
              <w:t xml:space="preserve"> </w:t>
            </w:r>
            <w:r w:rsidR="008918DC" w:rsidRPr="00BC2259">
              <w:rPr>
                <w:rFonts w:ascii="Garamond" w:eastAsia="Times New Roman" w:hAnsi="Garamond" w:cs="Times New Roman"/>
                <w:b/>
                <w:lang w:eastAsia="uk-UA"/>
              </w:rPr>
              <w:t>/</w:t>
            </w:r>
            <w:r w:rsidR="00BC2259">
              <w:rPr>
                <w:rFonts w:ascii="Garamond" w:eastAsia="Times New Roman" w:hAnsi="Garamond" w:cs="Times New Roman"/>
                <w:b/>
                <w:lang w:eastAsia="uk-UA"/>
              </w:rPr>
              <w:t xml:space="preserve"> </w:t>
            </w:r>
            <w:r w:rsidR="008918DC" w:rsidRPr="00BC2259">
              <w:rPr>
                <w:rFonts w:ascii="Garamond" w:eastAsia="Times New Roman" w:hAnsi="Garamond" w:cs="Times New Roman"/>
                <w:b/>
                <w:lang w:eastAsia="uk-UA"/>
              </w:rPr>
              <w:t>початок голосування)</w:t>
            </w:r>
          </w:p>
          <w:p w:rsidR="00567CA8" w:rsidRPr="00BC2259" w:rsidRDefault="00844FE1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b/>
                <w:lang w:eastAsia="uk-UA"/>
              </w:rPr>
              <w:t xml:space="preserve">по </w:t>
            </w:r>
            <w:r w:rsidR="00905B40" w:rsidRPr="00BC2259">
              <w:rPr>
                <w:rFonts w:ascii="Garamond" w:eastAsia="Times New Roman" w:hAnsi="Garamond" w:cs="Times New Roman"/>
                <w:b/>
                <w:lang w:eastAsia="uk-UA"/>
              </w:rPr>
              <w:t>30.04.2025</w:t>
            </w:r>
            <w:r w:rsidRPr="00BC2259">
              <w:rPr>
                <w:rFonts w:ascii="Garamond" w:eastAsia="Times New Roman" w:hAnsi="Garamond" w:cs="Times New Roman"/>
                <w:b/>
                <w:lang w:eastAsia="uk-UA"/>
              </w:rPr>
              <w:t xml:space="preserve"> 18:00 (закінчення голосування)</w:t>
            </w:r>
          </w:p>
        </w:tc>
      </w:tr>
      <w:tr w:rsidR="00905B40" w:rsidRPr="00BC2259" w:rsidTr="00905B4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Спосіб проведення загальних зборів</w:t>
            </w:r>
          </w:p>
        </w:tc>
        <w:tc>
          <w:tcPr>
            <w:tcW w:w="3333" w:type="pct"/>
            <w:vAlign w:val="center"/>
            <w:hideMark/>
          </w:tcPr>
          <w:p w:rsidR="00567CA8" w:rsidRPr="00BC2259" w:rsidRDefault="00567CA8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b/>
                <w:lang w:eastAsia="uk-UA"/>
              </w:rPr>
              <w:t>опитування (дистанційно)</w:t>
            </w:r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Час початку і закінчення реєстрації акціонерів для участі у загальних зборах</w:t>
            </w:r>
          </w:p>
        </w:tc>
        <w:tc>
          <w:tcPr>
            <w:tcW w:w="3333" w:type="pct"/>
            <w:vAlign w:val="center"/>
            <w:hideMark/>
          </w:tcPr>
          <w:p w:rsidR="00DC572E" w:rsidRPr="00BC2259" w:rsidRDefault="00844FE1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з </w:t>
            </w:r>
            <w:r w:rsidR="00905B40" w:rsidRPr="00BC2259">
              <w:rPr>
                <w:rFonts w:ascii="Garamond" w:eastAsia="Times New Roman" w:hAnsi="Garamond" w:cs="Times New Roman"/>
                <w:lang w:eastAsia="uk-UA"/>
              </w:rPr>
              <w:t>20.04.2025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 11:00</w:t>
            </w:r>
          </w:p>
          <w:p w:rsidR="00567CA8" w:rsidRPr="00BC2259" w:rsidRDefault="00844FE1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по </w:t>
            </w:r>
            <w:r w:rsidR="00905B40" w:rsidRPr="00BC2259">
              <w:rPr>
                <w:rFonts w:ascii="Garamond" w:eastAsia="Times New Roman" w:hAnsi="Garamond" w:cs="Times New Roman"/>
                <w:lang w:eastAsia="uk-UA"/>
              </w:rPr>
              <w:t>30.04.2025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 18:00</w:t>
            </w:r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Дата складення переліку акціонерів, які мають право на участь у загальних зборах</w:t>
            </w:r>
          </w:p>
        </w:tc>
        <w:tc>
          <w:tcPr>
            <w:tcW w:w="3333" w:type="pct"/>
            <w:vAlign w:val="center"/>
            <w:hideMark/>
          </w:tcPr>
          <w:p w:rsidR="00567CA8" w:rsidRPr="00BC2259" w:rsidRDefault="00905B40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25.04.2025</w:t>
            </w:r>
          </w:p>
        </w:tc>
      </w:tr>
      <w:tr w:rsidR="00905B40" w:rsidRPr="00BC2259" w:rsidTr="00905B40">
        <w:trPr>
          <w:trHeight w:val="2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proofErr w:type="spellStart"/>
            <w:r w:rsidRPr="00BC2259">
              <w:rPr>
                <w:rFonts w:ascii="Garamond" w:eastAsia="Times New Roman" w:hAnsi="Garamond" w:cs="Times New Roman"/>
                <w:lang w:eastAsia="uk-UA"/>
              </w:rPr>
              <w:t>Про</w:t>
            </w:r>
            <w:r w:rsidR="00844FE1" w:rsidRPr="00BC2259">
              <w:rPr>
                <w:rFonts w:ascii="Garamond" w:eastAsia="Times New Roman" w:hAnsi="Garamond" w:cs="Times New Roman"/>
                <w:lang w:eastAsia="uk-UA"/>
              </w:rPr>
              <w:t>є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>кт</w:t>
            </w:r>
            <w:proofErr w:type="spellEnd"/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 порядку денного / порядок денний</w:t>
            </w:r>
          </w:p>
        </w:tc>
        <w:tc>
          <w:tcPr>
            <w:tcW w:w="3333" w:type="pct"/>
            <w:vAlign w:val="center"/>
            <w:hideMark/>
          </w:tcPr>
          <w:p w:rsidR="00BC2259" w:rsidRPr="00BC2259" w:rsidRDefault="00905B40" w:rsidP="00BC2259">
            <w:pPr>
              <w:pStyle w:val="a4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Розгляд звіту Ради директорів ПрАТ «ВОЛИНЬОБЛЕНЕРГО» за 2024 рік та прийняття рішень за результатами його розгляду</w:t>
            </w:r>
            <w:r w:rsidR="00844FE1" w:rsidRPr="00BC2259">
              <w:rPr>
                <w:rFonts w:ascii="Garamond" w:hAnsi="Garamond"/>
              </w:rPr>
              <w:t>.</w:t>
            </w:r>
          </w:p>
          <w:p w:rsidR="00844FE1" w:rsidRPr="00BC2259" w:rsidRDefault="00905B40" w:rsidP="00BC2259">
            <w:pPr>
              <w:pStyle w:val="a4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Розгляд висновків аудиторського звіту суб’єкта аудиторської діяльності за 2024 рік та затвердження заходів за результатами його розгляду</w:t>
            </w:r>
            <w:r w:rsidR="00844FE1" w:rsidRPr="00BC2259">
              <w:rPr>
                <w:rFonts w:ascii="Garamond" w:hAnsi="Garamond"/>
              </w:rPr>
              <w:t>.</w:t>
            </w:r>
          </w:p>
          <w:p w:rsidR="00844FE1" w:rsidRPr="00BC2259" w:rsidRDefault="00905B40" w:rsidP="00BC2259">
            <w:pPr>
              <w:pStyle w:val="a4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Затвердження результатів фінансово-господарської діяльності за 2024 рік та розподіл прибутку або покриття збитків ПрАТ «ВОЛИНЬОБЛЕНЕРГО»</w:t>
            </w:r>
            <w:r w:rsidR="00844FE1" w:rsidRPr="00BC2259">
              <w:rPr>
                <w:rFonts w:ascii="Garamond" w:hAnsi="Garamond"/>
              </w:rPr>
              <w:t>.</w:t>
            </w:r>
          </w:p>
          <w:p w:rsidR="00844FE1" w:rsidRPr="00BC2259" w:rsidRDefault="00905B40" w:rsidP="00BC2259">
            <w:pPr>
              <w:pStyle w:val="a4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Призначення суб’єкта аудиторської діяльності для надання послуг з обов’язкового аудиту фінансової звітності ПрАТ «ВОЛИНЬОБЛЕНЕРГО» за 2025 - 2027 роки</w:t>
            </w:r>
            <w:r w:rsidR="00844FE1" w:rsidRPr="00BC2259">
              <w:rPr>
                <w:rFonts w:ascii="Garamond" w:hAnsi="Garamond"/>
              </w:rPr>
              <w:t>.</w:t>
            </w:r>
          </w:p>
          <w:p w:rsidR="00844FE1" w:rsidRPr="00BC2259" w:rsidRDefault="00905B40" w:rsidP="00BC2259">
            <w:pPr>
              <w:pStyle w:val="a4"/>
              <w:numPr>
                <w:ilvl w:val="0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hAnsi="Garamond"/>
              </w:rPr>
              <w:t>Про внесення змін до Статуту ПрАТ «ВОЛИНЬОБЛЕНЕРГО» шляхом викладення його у новій редакції</w:t>
            </w:r>
            <w:r w:rsidR="00844FE1" w:rsidRPr="00BC2259">
              <w:rPr>
                <w:rFonts w:ascii="Garamond" w:hAnsi="Garamond"/>
              </w:rPr>
              <w:t>.</w:t>
            </w:r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proofErr w:type="spellStart"/>
            <w:r w:rsidRPr="00BC2259">
              <w:rPr>
                <w:rFonts w:ascii="Garamond" w:eastAsia="Times New Roman" w:hAnsi="Garamond" w:cs="Times New Roman"/>
                <w:lang w:eastAsia="uk-UA"/>
              </w:rPr>
              <w:t>Про</w:t>
            </w:r>
            <w:r w:rsidR="00844FE1" w:rsidRPr="00BC2259">
              <w:rPr>
                <w:rFonts w:ascii="Garamond" w:eastAsia="Times New Roman" w:hAnsi="Garamond" w:cs="Times New Roman"/>
                <w:lang w:eastAsia="uk-UA"/>
              </w:rPr>
              <w:t>є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>кти</w:t>
            </w:r>
            <w:proofErr w:type="spellEnd"/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 рішень (крім кумулятивного голосування) з кожного питання, включеного до </w:t>
            </w:r>
            <w:proofErr w:type="spellStart"/>
            <w:r w:rsidRPr="00BC2259">
              <w:rPr>
                <w:rFonts w:ascii="Garamond" w:eastAsia="Times New Roman" w:hAnsi="Garamond" w:cs="Times New Roman"/>
                <w:lang w:eastAsia="uk-UA"/>
              </w:rPr>
              <w:t>про</w:t>
            </w:r>
            <w:r w:rsidR="00844FE1" w:rsidRPr="00BC2259">
              <w:rPr>
                <w:rFonts w:ascii="Garamond" w:eastAsia="Times New Roman" w:hAnsi="Garamond" w:cs="Times New Roman"/>
                <w:lang w:eastAsia="uk-UA"/>
              </w:rPr>
              <w:t>є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>кту</w:t>
            </w:r>
            <w:proofErr w:type="spellEnd"/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 порядку денного</w:t>
            </w:r>
          </w:p>
        </w:tc>
        <w:tc>
          <w:tcPr>
            <w:tcW w:w="3333" w:type="pct"/>
            <w:vAlign w:val="center"/>
            <w:hideMark/>
          </w:tcPr>
          <w:p w:rsidR="00BC2259" w:rsidRDefault="00905B40" w:rsidP="00905B40">
            <w:pPr>
              <w:pStyle w:val="a4"/>
              <w:numPr>
                <w:ilvl w:val="1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Прийняти до відома звіт Ради директорів ПрАТ «ВОЛИНЬОБЛЕНЕРГО» за 2024 рік.</w:t>
            </w:r>
          </w:p>
          <w:p w:rsidR="00BC2259" w:rsidRDefault="00905B40" w:rsidP="00905B40">
            <w:pPr>
              <w:pStyle w:val="a4"/>
              <w:numPr>
                <w:ilvl w:val="1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Визнати роботу Ради директорів ПрАТ «ВОЛИНЬОБЛЕНЕРГО» за 2024 рік задовільною.</w:t>
            </w:r>
          </w:p>
          <w:p w:rsidR="00BC2259" w:rsidRDefault="00905B40" w:rsidP="00905B40">
            <w:pPr>
              <w:pStyle w:val="a4"/>
              <w:numPr>
                <w:ilvl w:val="1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Взяти до відома висновки суб’єкта аудиторської діяльності ТОВ «ВАРІАНТА» з обов’язкового аудиту фінансової звітності ПрАТ «ВОЛИНЬОБЛЕНЕРГО» за 2024 рік.</w:t>
            </w:r>
          </w:p>
          <w:p w:rsidR="00BC2259" w:rsidRDefault="00905B40" w:rsidP="00905B40">
            <w:pPr>
              <w:pStyle w:val="a4"/>
              <w:numPr>
                <w:ilvl w:val="1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Доручити Раді директорів ПрАТ «ВОЛИНЬОБЛЕНЕРГО» врахувати висновки суб’єкта аудиторської діяльності з обов’язкового аудиту фінансової звітності ПрАТ «ВОЛИНЬОБЛЕНЕРГО» за 2024 рік у подальшій роботі.</w:t>
            </w:r>
          </w:p>
          <w:p w:rsidR="00BC2259" w:rsidRDefault="00905B40" w:rsidP="00905B40">
            <w:pPr>
              <w:pStyle w:val="a4"/>
              <w:numPr>
                <w:ilvl w:val="1"/>
                <w:numId w:val="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Затвердити результати фінансово-господарської діяльності ПрАТ «ВОЛИНЬОБЛЕНЕРГО» за підсумками 2024 року.</w:t>
            </w:r>
          </w:p>
          <w:p w:rsidR="00BC2259" w:rsidRDefault="00905B40" w:rsidP="00905B40">
            <w:pPr>
              <w:pStyle w:val="a4"/>
              <w:numPr>
                <w:ilvl w:val="1"/>
                <w:numId w:val="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Чистий прибуток, отриманий за підсумками роботи ПрАТ «ВОЛИНЬОБЛЕНЕРГО» у 2024 році, в сумі 19 539 тис. грн залишити нерозподіленим.</w:t>
            </w:r>
          </w:p>
          <w:p w:rsidR="00BC2259" w:rsidRDefault="00905B40" w:rsidP="00905B40">
            <w:pPr>
              <w:pStyle w:val="a4"/>
              <w:numPr>
                <w:ilvl w:val="1"/>
                <w:numId w:val="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Призначити суб’єктом аудиторської діяльності для надання послуг з обов’язкового аудиту фінансової звітності ПрАТ «ВОЛИНЬОБЛЕНЕРГО» за 2025, 2026 та 2027 років – Товариство з обмеженою відповідальністю «ВАРІАНТА», ЄДРПОУ: 33360313.</w:t>
            </w:r>
          </w:p>
          <w:p w:rsidR="00BC2259" w:rsidRDefault="00905B40" w:rsidP="00905B40">
            <w:pPr>
              <w:pStyle w:val="a4"/>
              <w:numPr>
                <w:ilvl w:val="1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proofErr w:type="spellStart"/>
            <w:r w:rsidRPr="00BC2259">
              <w:rPr>
                <w:rFonts w:ascii="Garamond" w:hAnsi="Garamond"/>
              </w:rPr>
              <w:t>Внести</w:t>
            </w:r>
            <w:proofErr w:type="spellEnd"/>
            <w:r w:rsidRPr="00BC2259">
              <w:rPr>
                <w:rFonts w:ascii="Garamond" w:hAnsi="Garamond"/>
              </w:rPr>
              <w:t xml:space="preserve"> та затвердити зміни до Статуту ПрАТ «ВОЛИНЬОБЛЕНЕРГО» шляхом викладення його у новій редакції.</w:t>
            </w:r>
          </w:p>
          <w:p w:rsidR="00BC2259" w:rsidRDefault="00905B40" w:rsidP="00905B40">
            <w:pPr>
              <w:pStyle w:val="a4"/>
              <w:numPr>
                <w:ilvl w:val="1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lastRenderedPageBreak/>
              <w:t>Доручити Голові та Секретарю цих загальних зборів акціонерів Товариства підписати нову редакцію Статуту ПрАТ «ВОЛИНЬОБЛЕНЕРГО», що затверджена цими загальними зборами акціонерів Товариства.</w:t>
            </w:r>
          </w:p>
          <w:p w:rsidR="00905B40" w:rsidRPr="00BC2259" w:rsidRDefault="00905B40" w:rsidP="00905B40">
            <w:pPr>
              <w:pStyle w:val="a4"/>
              <w:numPr>
                <w:ilvl w:val="1"/>
                <w:numId w:val="1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</w:rPr>
              <w:t>Уповноважити Голову та Секретаря цих загальних зборів акціонерів Товариства самостійно або доручивши це іншим особам у порядку, встановленому чинним законодавством України, забезпечити здійснення державної реєстрації нової редакції Статуту Товариства, затвердженої загальними зборами акціонерів Товариства.</w:t>
            </w:r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lastRenderedPageBreak/>
              <w:t xml:space="preserve">URL-адреса </w:t>
            </w:r>
            <w:proofErr w:type="spellStart"/>
            <w:r w:rsidRPr="00BC2259">
              <w:rPr>
                <w:rFonts w:ascii="Garamond" w:eastAsia="Times New Roman" w:hAnsi="Garamond" w:cs="Times New Roman"/>
                <w:lang w:eastAsia="uk-UA"/>
              </w:rPr>
              <w:t>вебсайту</w:t>
            </w:r>
            <w:proofErr w:type="spellEnd"/>
            <w:r w:rsidRPr="00BC2259">
              <w:rPr>
                <w:rFonts w:ascii="Garamond" w:eastAsia="Times New Roman" w:hAnsi="Garamond" w:cs="Times New Roman"/>
                <w:lang w:eastAsia="uk-UA"/>
              </w:rPr>
              <w:t>, на якій розміщено інформацію, зазначену в </w:t>
            </w:r>
            <w:hyperlink r:id="rId8" w:anchor="n506" w:tgtFrame="_blank" w:history="1">
              <w:r w:rsidRPr="00BC2259">
                <w:rPr>
                  <w:rFonts w:ascii="Garamond" w:eastAsia="Times New Roman" w:hAnsi="Garamond" w:cs="Times New Roman"/>
                  <w:lang w:eastAsia="uk-UA"/>
                </w:rPr>
                <w:t>частині третій</w:t>
              </w:r>
            </w:hyperlink>
            <w:r w:rsidRPr="00BC2259">
              <w:rPr>
                <w:rFonts w:ascii="Garamond" w:eastAsia="Times New Roman" w:hAnsi="Garamond" w:cs="Times New Roman"/>
                <w:lang w:eastAsia="uk-UA"/>
              </w:rPr>
              <w:t> статті 47 Закону про акціонерні товариства</w:t>
            </w:r>
          </w:p>
        </w:tc>
        <w:tc>
          <w:tcPr>
            <w:tcW w:w="3333" w:type="pct"/>
            <w:vAlign w:val="center"/>
            <w:hideMark/>
          </w:tcPr>
          <w:p w:rsidR="00567CA8" w:rsidRPr="00BC2259" w:rsidRDefault="00ED0EA6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b/>
                <w:lang w:eastAsia="uk-UA"/>
              </w:rPr>
            </w:pPr>
            <w:hyperlink r:id="rId9" w:history="1">
              <w:r w:rsidR="00C8125A" w:rsidRPr="00BC2259">
                <w:rPr>
                  <w:rStyle w:val="a3"/>
                  <w:rFonts w:ascii="Garamond" w:eastAsia="Times New Roman" w:hAnsi="Garamond" w:cs="Times New Roman"/>
                  <w:b/>
                  <w:color w:val="0070C0"/>
                  <w:u w:val="none"/>
                  <w:lang w:eastAsia="uk-UA"/>
                </w:rPr>
                <w:t>https://energy.volyn.ua/informatsiia/zahalni-zbory-aktsioneriv/</w:t>
              </w:r>
            </w:hyperlink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Порядок ознайомлення акціонерів з матеріалами, з якими вони можуть ознайомитися під час підготовки до загальних зборів, та посадова особа акціонерного товариства, відповідальна за порядок ознайомлення акціонерів з документами</w:t>
            </w:r>
          </w:p>
        </w:tc>
        <w:tc>
          <w:tcPr>
            <w:tcW w:w="3333" w:type="pct"/>
            <w:vAlign w:val="center"/>
            <w:hideMark/>
          </w:tcPr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t>Від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надсилання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повідомлення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можливість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ознайомитися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документами,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необхідними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прийняття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рішень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питань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порядку денного шляхом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його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запит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засобами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</w:p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  <w:lang w:val="ru-RU"/>
              </w:rPr>
              <w:t xml:space="preserve">Запит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матеріалами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(документами),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необхідними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прийняття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рішень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питань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порядку денного,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бути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підписаний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кваліфікованим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підписом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(КЕП) такого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іншим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засобом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забезпечує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ідентифікацію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підтвердження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документу особою) та направлений на адресу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hyperlink r:id="rId10" w:history="1"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mondrovskyi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mm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@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energy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volyn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proofErr w:type="spellStart"/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ua</w:t>
              </w:r>
              <w:proofErr w:type="spellEnd"/>
            </w:hyperlink>
            <w:r w:rsidRPr="00BC2259">
              <w:rPr>
                <w:rFonts w:ascii="Garamond" w:hAnsi="Garamond"/>
                <w:lang w:val="ru-RU"/>
              </w:rPr>
              <w:t xml:space="preserve">.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разі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отримання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належним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чином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оформленого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особа,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відповідальна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відповідними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документами,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направляє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такі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gramStart"/>
            <w:r w:rsidRPr="00BC2259">
              <w:rPr>
                <w:rFonts w:ascii="Garamond" w:hAnsi="Garamond"/>
                <w:lang w:val="ru-RU"/>
              </w:rPr>
              <w:t>на адресу</w:t>
            </w:r>
            <w:proofErr w:type="gram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якої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направлено запит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із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засвідченням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КЕП.  </w:t>
            </w:r>
          </w:p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встановленому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ним порядку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зобов'язане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надавати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щодо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питань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включених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проєкту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порядку денного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порядку денного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направляються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адресу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hyperlink r:id="rId11" w:history="1"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mondrovskyi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mm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@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energy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volyn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proofErr w:type="spellStart"/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ua</w:t>
              </w:r>
              <w:proofErr w:type="spellEnd"/>
            </w:hyperlink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зазначену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повідомленні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із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засвідченням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такого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КЕП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іншим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засобом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забезпечує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ідентифікацію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підтвердження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документу особою).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може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одну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всі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однакового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змісту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r w:rsidRPr="00BC2259">
              <w:rPr>
                <w:rFonts w:ascii="Garamond" w:hAnsi="Garamond"/>
              </w:rPr>
              <w:t>акціонерів</w:t>
            </w:r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направляються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gramStart"/>
            <w:r w:rsidRPr="00BC2259">
              <w:rPr>
                <w:rFonts w:ascii="Garamond" w:hAnsi="Garamond"/>
                <w:lang w:val="ru-RU"/>
              </w:rPr>
              <w:t>на адресу</w:t>
            </w:r>
            <w:proofErr w:type="gram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якої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надійшов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належним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чином оформлений запит,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із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засвідченням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КЕП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уповноваженої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особи.  </w:t>
            </w:r>
          </w:p>
          <w:p w:rsidR="00567CA8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r w:rsidRPr="00BC2259">
              <w:rPr>
                <w:rFonts w:ascii="Garamond" w:hAnsi="Garamond"/>
                <w:lang w:val="ru-RU"/>
              </w:rPr>
              <w:t xml:space="preserve">Особа,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відповідальна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 порядок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документами –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корпоративний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секретар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Мондровський Михайло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Миколайович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довідки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 телефонами: +38 (067) 005-18-85, (0332) 78-05-06, </w:t>
            </w:r>
            <w:r w:rsidRPr="00BC2259">
              <w:rPr>
                <w:rFonts w:ascii="Garamond" w:hAnsi="Garamond"/>
              </w:rPr>
              <w:t>e</w:t>
            </w:r>
            <w:r w:rsidRPr="00BC2259">
              <w:rPr>
                <w:rFonts w:ascii="Garamond" w:hAnsi="Garamond"/>
                <w:lang w:val="ru-RU"/>
              </w:rPr>
              <w:t>-</w:t>
            </w:r>
            <w:proofErr w:type="spellStart"/>
            <w:r w:rsidRPr="00BC2259">
              <w:rPr>
                <w:rFonts w:ascii="Garamond" w:hAnsi="Garamond"/>
              </w:rPr>
              <w:t>mail</w:t>
            </w:r>
            <w:proofErr w:type="spellEnd"/>
            <w:r w:rsidRPr="00BC2259">
              <w:rPr>
                <w:rFonts w:ascii="Garamond" w:hAnsi="Garamond"/>
              </w:rPr>
              <w:t xml:space="preserve">: </w:t>
            </w:r>
            <w:hyperlink r:id="rId12" w:history="1"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mondrovskyi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mm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@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energy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volyn</w:t>
              </w:r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proofErr w:type="spellStart"/>
              <w:r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ua</w:t>
              </w:r>
              <w:proofErr w:type="spellEnd"/>
            </w:hyperlink>
            <w:r w:rsidRPr="00BC2259">
              <w:rPr>
                <w:rStyle w:val="a3"/>
                <w:rFonts w:ascii="Garamond" w:hAnsi="Garamond"/>
                <w:color w:val="auto"/>
                <w:u w:val="none"/>
              </w:rPr>
              <w:t xml:space="preserve">; місцезнаходження: </w:t>
            </w:r>
            <w:r w:rsidRPr="00BC2259">
              <w:rPr>
                <w:rFonts w:ascii="Garamond" w:hAnsi="Garamond"/>
                <w:lang w:val="ru-RU"/>
              </w:rPr>
              <w:t xml:space="preserve">43024,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Україна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Волинська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обл.,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Луцький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район, м.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Луцьк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вул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  <w:r w:rsidRPr="00BC2259">
              <w:rPr>
                <w:rFonts w:ascii="Garamond" w:hAnsi="Garamond"/>
              </w:rPr>
              <w:t>Яремчука Назарія</w:t>
            </w:r>
            <w:r w:rsidRPr="00BC2259">
              <w:rPr>
                <w:rFonts w:ascii="Garamond" w:hAnsi="Garamond"/>
                <w:lang w:val="ru-RU"/>
              </w:rPr>
              <w:t xml:space="preserve">, буд. 4,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каб</w:t>
            </w:r>
            <w:proofErr w:type="spellEnd"/>
            <w:r w:rsidRPr="00BC2259">
              <w:rPr>
                <w:rFonts w:ascii="Garamond" w:hAnsi="Garamond"/>
                <w:lang w:val="ru-RU"/>
              </w:rPr>
              <w:t>. 603</w:t>
            </w:r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Інформація про права, надані акціонерам відповідно до вимог </w:t>
            </w:r>
            <w:hyperlink r:id="rId13" w:anchor="n274" w:tgtFrame="_blank" w:history="1">
              <w:r w:rsidRPr="00BC2259">
                <w:rPr>
                  <w:rFonts w:ascii="Garamond" w:eastAsia="Times New Roman" w:hAnsi="Garamond" w:cs="Times New Roman"/>
                  <w:lang w:eastAsia="uk-UA"/>
                </w:rPr>
                <w:t>статей 27</w:t>
              </w:r>
            </w:hyperlink>
            <w:r w:rsidRPr="00BC2259">
              <w:rPr>
                <w:rFonts w:ascii="Garamond" w:eastAsia="Times New Roman" w:hAnsi="Garamond" w:cs="Times New Roman"/>
                <w:lang w:eastAsia="uk-UA"/>
              </w:rPr>
              <w:t> і </w:t>
            </w:r>
            <w:hyperlink r:id="rId14" w:anchor="n283" w:tgtFrame="_blank" w:history="1">
              <w:r w:rsidRPr="00BC2259">
                <w:rPr>
                  <w:rFonts w:ascii="Garamond" w:eastAsia="Times New Roman" w:hAnsi="Garamond" w:cs="Times New Roman"/>
                  <w:lang w:eastAsia="uk-UA"/>
                </w:rPr>
                <w:t>28</w:t>
              </w:r>
            </w:hyperlink>
            <w:r w:rsidRPr="00BC2259">
              <w:rPr>
                <w:rFonts w:ascii="Garamond" w:eastAsia="Times New Roman" w:hAnsi="Garamond" w:cs="Times New Roman"/>
                <w:lang w:eastAsia="uk-UA"/>
              </w:rPr>
              <w:t> Закону про акціонерні товариства, якими вони можуть користуватися після отримання повідомлення про проведення загальних зборів, а також строк, протягом якого такі права можуть використовуватися</w:t>
            </w:r>
          </w:p>
        </w:tc>
        <w:tc>
          <w:tcPr>
            <w:tcW w:w="3333" w:type="pct"/>
            <w:vAlign w:val="center"/>
            <w:hideMark/>
          </w:tcPr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r w:rsidRPr="00BC2259">
              <w:rPr>
                <w:rFonts w:ascii="Garamond" w:hAnsi="Garamond"/>
                <w:lang w:val="ru-RU"/>
              </w:rPr>
              <w:t xml:space="preserve">Кожною простою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акцією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її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власнику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-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надається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однакова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сукупність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прав,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включаючи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права на:</w:t>
            </w:r>
            <w:bookmarkStart w:id="2" w:name="n276"/>
            <w:bookmarkEnd w:id="2"/>
            <w:r w:rsidRPr="00BC2259">
              <w:rPr>
                <w:rFonts w:ascii="Garamond" w:hAnsi="Garamond"/>
                <w:lang w:val="ru-RU"/>
              </w:rPr>
              <w:t xml:space="preserve"> участь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управлінні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>;</w:t>
            </w:r>
            <w:bookmarkStart w:id="3" w:name="n277"/>
            <w:bookmarkEnd w:id="3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отримання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дивідендів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>;</w:t>
            </w:r>
            <w:bookmarkStart w:id="4" w:name="n278"/>
            <w:bookmarkEnd w:id="4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отримання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разі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ліквідації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частини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його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майна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або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вартості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частини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майна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>;</w:t>
            </w:r>
            <w:bookmarkStart w:id="5" w:name="n279"/>
            <w:bookmarkEnd w:id="5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отримання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інформації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господарську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діяльність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>.</w:t>
            </w:r>
          </w:p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bookmarkStart w:id="6" w:name="n280"/>
            <w:bookmarkEnd w:id="6"/>
            <w:r w:rsidRPr="00BC2259">
              <w:rPr>
                <w:rFonts w:ascii="Garamond" w:hAnsi="Garamond"/>
                <w:lang w:val="ru-RU"/>
              </w:rPr>
              <w:t xml:space="preserve">Одна проста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голосуюча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один голос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вирішення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кожного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питання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зборах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крім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випадків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кумулятивного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>.</w:t>
            </w:r>
            <w:bookmarkStart w:id="7" w:name="n281"/>
            <w:bookmarkEnd w:id="7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-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власники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простих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можуть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й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інші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права,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передбачені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законодавством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статутом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акціонерного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>.</w:t>
            </w:r>
          </w:p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t>Від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надсилання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повідомлення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можливість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ознайомитися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документами,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необхідними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прийняття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рішень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питань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включених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lastRenderedPageBreak/>
              <w:t>проєкту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порядку денного та порядку денного, шляхом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сканованих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копій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його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запит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засобами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зазначеної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повідомленні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 </w:t>
            </w:r>
          </w:p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r w:rsidRPr="00BC2259">
              <w:rPr>
                <w:rFonts w:ascii="Garamond" w:hAnsi="Garamond"/>
                <w:lang w:val="ru-RU"/>
              </w:rPr>
              <w:t xml:space="preserve">Запит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документами,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необхідними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учасникам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прийняття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рішень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питань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порядку денного,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бути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підписаний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кваліфікованим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підписом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(КЕП) такого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іншим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засобом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забезпечує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ідентифікацію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підтвердження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документу особою) та направлений </w:t>
            </w:r>
            <w:proofErr w:type="gramStart"/>
            <w:r w:rsidRPr="00BC2259">
              <w:rPr>
                <w:rFonts w:ascii="Garamond" w:hAnsi="Garamond"/>
                <w:lang w:val="ru-RU"/>
              </w:rPr>
              <w:t>на адресу</w:t>
            </w:r>
            <w:proofErr w:type="gram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зазначену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повідомленні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разі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отримання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належним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чином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оформленого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r w:rsidRPr="00BC2259">
              <w:rPr>
                <w:rFonts w:ascii="Garamond" w:hAnsi="Garamond"/>
              </w:rPr>
              <w:t>акціонера</w:t>
            </w:r>
            <w:r w:rsidRPr="00BC2259">
              <w:rPr>
                <w:rFonts w:ascii="Garamond" w:hAnsi="Garamond"/>
                <w:lang w:val="ru-RU"/>
              </w:rPr>
              <w:t xml:space="preserve">, особа,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відповідальна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учасників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відповідними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документами,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направляє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такі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gramStart"/>
            <w:r w:rsidRPr="00BC2259">
              <w:rPr>
                <w:rFonts w:ascii="Garamond" w:hAnsi="Garamond"/>
                <w:lang w:val="ru-RU"/>
              </w:rPr>
              <w:t>на адресу</w:t>
            </w:r>
            <w:proofErr w:type="gram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якої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направлено запит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із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засвідченням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КЕП.  </w:t>
            </w:r>
          </w:p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t>Кожен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право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отримати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зобов’язане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його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запит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формі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сканованих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копій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),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безкоштовно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якими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можуть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ознайомитися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час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підготовки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У такому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випадку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зберігає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зазначені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електронній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формі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відповідно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вимог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встановлених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законодавством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електронний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документообіг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 </w:t>
            </w:r>
          </w:p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t>Після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надсилання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повідомлення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не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права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вносити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зміни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або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якими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вони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мали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можливість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ознайомитися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крім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змін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зазначених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зв'язку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із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змінами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gramStart"/>
            <w:r w:rsidRPr="00BC2259">
              <w:rPr>
                <w:rFonts w:ascii="Garamond" w:hAnsi="Garamond"/>
                <w:lang w:val="ru-RU"/>
              </w:rPr>
              <w:t>в порядку</w:t>
            </w:r>
            <w:proofErr w:type="gramEnd"/>
            <w:r w:rsidRPr="00BC2259">
              <w:rPr>
                <w:rFonts w:ascii="Garamond" w:hAnsi="Garamond"/>
                <w:lang w:val="ru-RU"/>
              </w:rPr>
              <w:t xml:space="preserve"> денному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чи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зв'язку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виправленням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помилок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У такому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разі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зміни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вносяться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не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пізніше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ніж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 10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днів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r w:rsidRPr="00BC2259">
              <w:rPr>
                <w:rFonts w:ascii="Garamond" w:hAnsi="Garamond"/>
              </w:rPr>
              <w:t>З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щодо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кандидатів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gramStart"/>
            <w:r w:rsidRPr="00BC2259">
              <w:rPr>
                <w:rFonts w:ascii="Garamond" w:hAnsi="Garamond"/>
                <w:lang w:val="ru-RU"/>
              </w:rPr>
              <w:t>до складу</w:t>
            </w:r>
            <w:proofErr w:type="gram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наглядової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ради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– не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пізніше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ніж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чотири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 </w:t>
            </w:r>
          </w:p>
          <w:p w:rsidR="00567CA8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встановленому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ним порядку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зобов'язане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надавати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щодо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питань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включених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проєкту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порядку денного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порядку денного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направляються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учасникам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gramStart"/>
            <w:r w:rsidRPr="00BC2259">
              <w:rPr>
                <w:rFonts w:ascii="Garamond" w:hAnsi="Garamond"/>
                <w:lang w:val="ru-RU"/>
              </w:rPr>
              <w:t>на адресу</w:t>
            </w:r>
            <w:proofErr w:type="gram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зазначену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повідомленні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r w:rsidRPr="00BC2259">
              <w:rPr>
                <w:rFonts w:ascii="Garamond" w:hAnsi="Garamond"/>
              </w:rPr>
              <w:t>З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із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засвідченням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такого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КЕП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іншим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засобом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забезпечує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ідентифікацію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підтвердження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документу особою).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може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одну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всі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однакового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змісту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запити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r w:rsidRPr="00BC2259">
              <w:rPr>
                <w:rFonts w:ascii="Garamond" w:hAnsi="Garamond"/>
              </w:rPr>
              <w:t>акціонерів</w:t>
            </w:r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направляються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адресу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якої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надійшов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належним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чином оформлений запит,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із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засвідченням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КЕП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уповноваженої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особи.</w:t>
            </w:r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lastRenderedPageBreak/>
              <w:t>Порядок участі та голосування на загальних зборах за довіреністю</w:t>
            </w:r>
          </w:p>
        </w:tc>
        <w:tc>
          <w:tcPr>
            <w:tcW w:w="3333" w:type="pct"/>
            <w:vAlign w:val="center"/>
            <w:hideMark/>
          </w:tcPr>
          <w:p w:rsidR="00F55326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r w:rsidRPr="00BC2259">
              <w:rPr>
                <w:rFonts w:ascii="Garamond" w:hAnsi="Garamond"/>
                <w:lang w:val="ru-RU"/>
              </w:rPr>
              <w:t xml:space="preserve">Порядок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участі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особисто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їх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представників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довіреністю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)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зборах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проводяться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дистанційно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визначається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відповідно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Розділів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r w:rsidRPr="00BC2259">
              <w:rPr>
                <w:rFonts w:ascii="Garamond" w:hAnsi="Garamond"/>
              </w:rPr>
              <w:t>XII</w:t>
            </w:r>
            <w:r w:rsidRPr="00BC2259">
              <w:rPr>
                <w:rFonts w:ascii="Garamond" w:hAnsi="Garamond"/>
                <w:lang w:val="ru-RU"/>
              </w:rPr>
              <w:t xml:space="preserve">, </w:t>
            </w:r>
            <w:r w:rsidRPr="00BC2259">
              <w:rPr>
                <w:rFonts w:ascii="Garamond" w:hAnsi="Garamond"/>
              </w:rPr>
              <w:t>XІІІ</w:t>
            </w:r>
            <w:r w:rsidRPr="00BC2259">
              <w:rPr>
                <w:rFonts w:ascii="Garamond" w:hAnsi="Garamond"/>
                <w:lang w:val="ru-RU"/>
              </w:rPr>
              <w:t xml:space="preserve"> та </w:t>
            </w:r>
            <w:r w:rsidRPr="00BC2259">
              <w:rPr>
                <w:rFonts w:ascii="Garamond" w:hAnsi="Garamond"/>
              </w:rPr>
              <w:t>XVI</w:t>
            </w:r>
            <w:r w:rsidRPr="00BC2259">
              <w:rPr>
                <w:rFonts w:ascii="Garamond" w:hAnsi="Garamond"/>
                <w:lang w:val="ru-RU"/>
              </w:rPr>
              <w:t xml:space="preserve"> Порядку. </w:t>
            </w:r>
          </w:p>
          <w:p w:rsidR="00567CA8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hAnsi="Garamond"/>
                <w:lang w:val="ru-RU"/>
              </w:rPr>
              <w:t xml:space="preserve">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реєстрації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їх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представників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) таким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представником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)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направляються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gramStart"/>
            <w:r w:rsidRPr="00BC2259">
              <w:rPr>
                <w:rFonts w:ascii="Garamond" w:hAnsi="Garamond"/>
                <w:lang w:val="ru-RU"/>
              </w:rPr>
              <w:t>на адресу</w:t>
            </w:r>
            <w:proofErr w:type="gram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пошти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депозитарної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установи, яка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обслуговує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рахунок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цінних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паперах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такого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якому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обліковуються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належні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акціонерного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випадку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направлення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підписаного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представником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до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додаються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підтверджують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повноваження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такого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представника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або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їх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належним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чином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засвідчені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копії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>.</w:t>
            </w:r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Дата і час початку та завершення надсилання до депозитарної установи бюлетенів для голосування</w:t>
            </w:r>
            <w:r w:rsidRPr="00BC2259">
              <w:rPr>
                <w:rFonts w:ascii="Garamond" w:eastAsia="Times New Roman" w:hAnsi="Garamond" w:cs="Times New Roman"/>
                <w:vertAlign w:val="superscript"/>
                <w:lang w:eastAsia="uk-UA"/>
              </w:rPr>
              <w:t>-</w:t>
            </w:r>
          </w:p>
        </w:tc>
        <w:tc>
          <w:tcPr>
            <w:tcW w:w="3333" w:type="pct"/>
            <w:vAlign w:val="center"/>
            <w:hideMark/>
          </w:tcPr>
          <w:p w:rsidR="008918DC" w:rsidRPr="00BC2259" w:rsidRDefault="008918DC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r w:rsidRPr="00BC2259">
              <w:rPr>
                <w:rFonts w:ascii="Garamond" w:hAnsi="Garamond"/>
                <w:lang w:val="ru-RU"/>
              </w:rPr>
              <w:t xml:space="preserve">Моментом початку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є дата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розміщення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вільному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доступі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форма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затвердженої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форми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розміщується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вільному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доступі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не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пізніше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11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години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дня,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зазначеного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як дата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розміщення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>,</w:t>
            </w:r>
            <w:r w:rsidR="00905B40" w:rsidRPr="00BC2259">
              <w:rPr>
                <w:rFonts w:ascii="Garamond" w:hAnsi="Garamond"/>
                <w:lang w:val="ru-RU"/>
              </w:rPr>
              <w:t xml:space="preserve"> за </w:t>
            </w:r>
            <w:proofErr w:type="spellStart"/>
            <w:r w:rsidR="00905B40" w:rsidRPr="00BC2259">
              <w:rPr>
                <w:rFonts w:ascii="Garamond" w:hAnsi="Garamond"/>
                <w:lang w:val="ru-RU"/>
              </w:rPr>
              <w:t>посиланням</w:t>
            </w:r>
            <w:proofErr w:type="spellEnd"/>
            <w:r w:rsidR="00905B40"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="00905B40" w:rsidRPr="00BC2259">
              <w:rPr>
                <w:rFonts w:ascii="Garamond" w:hAnsi="Garamond"/>
                <w:lang w:val="ru-RU"/>
              </w:rPr>
              <w:t>вказаним</w:t>
            </w:r>
            <w:proofErr w:type="spellEnd"/>
            <w:r w:rsidR="00905B40"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="00905B40" w:rsidRPr="00BC2259">
              <w:rPr>
                <w:rFonts w:ascii="Garamond" w:hAnsi="Garamond"/>
                <w:lang w:val="ru-RU"/>
              </w:rPr>
              <w:t>веб</w:t>
            </w:r>
            <w:r w:rsidRPr="00BC2259">
              <w:rPr>
                <w:rFonts w:ascii="Garamond" w:hAnsi="Garamond"/>
                <w:lang w:val="ru-RU"/>
              </w:rPr>
              <w:t>сайті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зазначеному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повідомленні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про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Моментом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закінчення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є 18</w:t>
            </w:r>
            <w:r w:rsidRPr="00BC2259">
              <w:rPr>
                <w:rFonts w:ascii="Garamond" w:hAnsi="Garamond"/>
              </w:rPr>
              <w:t>:</w:t>
            </w:r>
            <w:r w:rsidRPr="00BC2259">
              <w:rPr>
                <w:rFonts w:ascii="Garamond" w:hAnsi="Garamond"/>
                <w:lang w:val="ru-RU"/>
              </w:rPr>
              <w:t xml:space="preserve">00 год.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проведення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закінчення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– </w:t>
            </w:r>
            <w:r w:rsidR="00905B40" w:rsidRPr="00BC2259">
              <w:rPr>
                <w:rFonts w:ascii="Garamond" w:hAnsi="Garamond"/>
                <w:lang w:val="ru-RU"/>
              </w:rPr>
              <w:t>30</w:t>
            </w:r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квітня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202</w:t>
            </w:r>
            <w:r w:rsidR="00905B40" w:rsidRPr="00BC2259">
              <w:rPr>
                <w:rFonts w:ascii="Garamond" w:hAnsi="Garamond"/>
                <w:lang w:val="ru-RU"/>
              </w:rPr>
              <w:t>5</w:t>
            </w:r>
            <w:r w:rsidRPr="00BC2259">
              <w:rPr>
                <w:rFonts w:ascii="Garamond" w:hAnsi="Garamond"/>
                <w:lang w:val="ru-RU"/>
              </w:rPr>
              <w:t xml:space="preserve"> року).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отриманий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депозитарною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установою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після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завершення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часу,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відведеного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вважається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таким,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не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подавався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. </w:t>
            </w:r>
          </w:p>
          <w:p w:rsidR="008918DC" w:rsidRPr="00BC2259" w:rsidRDefault="008918DC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lastRenderedPageBreak/>
              <w:t>Бюлетень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зборах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засвідчується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КЕП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(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його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представника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>) та/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або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іншим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засобом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електронної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ідентифікації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що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відповідає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вимогам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визначеним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Національною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комісією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цінних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паперів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та фондового ринку.</w:t>
            </w:r>
          </w:p>
          <w:p w:rsidR="00567CA8" w:rsidRPr="00BC2259" w:rsidRDefault="008918DC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hAnsi="Garamond"/>
                <w:lang w:val="ru-RU"/>
              </w:rPr>
              <w:t xml:space="preserve">Особам,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яким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рахунок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цінних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паперах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відкрито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депозитарною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установою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підставі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договору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емітентом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забезпечення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реалізації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права на участь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дистанційних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зборах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необхідно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укласти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договір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депозитарними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установами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самостійно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>.</w:t>
            </w:r>
          </w:p>
        </w:tc>
      </w:tr>
      <w:tr w:rsidR="00905B40" w:rsidRPr="00BC2259" w:rsidTr="00BC2259">
        <w:trPr>
          <w:trHeight w:val="4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lastRenderedPageBreak/>
              <w:t>Інші відомості, передбачені законодавством</w:t>
            </w:r>
            <w:r w:rsidRPr="00BC2259">
              <w:rPr>
                <w:rFonts w:ascii="Garamond" w:eastAsia="Times New Roman" w:hAnsi="Garamond" w:cs="Times New Roman"/>
                <w:vertAlign w:val="superscript"/>
                <w:lang w:eastAsia="uk-UA"/>
              </w:rPr>
              <w:t>-</w:t>
            </w:r>
          </w:p>
        </w:tc>
        <w:tc>
          <w:tcPr>
            <w:tcW w:w="3333" w:type="pct"/>
            <w:vAlign w:val="center"/>
            <w:hideMark/>
          </w:tcPr>
          <w:p w:rsidR="008918DC" w:rsidRP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зборах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питань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порядку денного проводиться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виключно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використанням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>.</w:t>
            </w:r>
          </w:p>
          <w:p w:rsid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proofErr w:type="spellStart"/>
            <w:r w:rsidRPr="00BC2259">
              <w:rPr>
                <w:rFonts w:ascii="Garamond" w:hAnsi="Garamond"/>
                <w:lang w:val="ru-RU"/>
              </w:rPr>
              <w:t>Товариство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розміщує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затверджений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бюлетень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голосування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дистанційних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зборах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у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вільному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для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доступі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власному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вебсайті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розділі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«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» </w:t>
            </w:r>
            <w:r w:rsidRPr="00BC2259">
              <w:rPr>
                <w:rFonts w:ascii="Garamond" w:hAnsi="Garamond"/>
              </w:rPr>
              <w:t>URL:</w:t>
            </w:r>
          </w:p>
          <w:p w:rsidR="00BC2259" w:rsidRDefault="00BC2259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</w:p>
          <w:p w:rsidR="008918DC" w:rsidRDefault="00ED0EA6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Garamond" w:hAnsi="Garamond"/>
                <w:b/>
                <w:color w:val="0070C0"/>
                <w:u w:val="none"/>
              </w:rPr>
            </w:pPr>
            <w:hyperlink r:id="rId15" w:history="1"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https://energy.volyn.ua/informatsiia/zahalni-zbory-aktsioneriv/biuleteni/</w:t>
              </w:r>
            </w:hyperlink>
          </w:p>
          <w:p w:rsidR="00BC2259" w:rsidRPr="00BC2259" w:rsidRDefault="00BC2259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</w:p>
          <w:p w:rsidR="00BC2259" w:rsidRDefault="00F55326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BC2259">
              <w:rPr>
                <w:rFonts w:ascii="Garamond" w:hAnsi="Garamond"/>
                <w:lang w:val="ru-RU"/>
              </w:rPr>
              <w:t xml:space="preserve">Протокол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складається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протягом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10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днів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після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отримання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від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ЦД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документів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,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передбачених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пунктом 70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розділу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ХІІІ Порядку. Протокол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учасників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протягом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5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робочого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дня з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дати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його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складання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розміщується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на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вебсайті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Товариства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в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розділі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«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Протоколи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загальних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зборів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 </w:t>
            </w:r>
            <w:proofErr w:type="spellStart"/>
            <w:r w:rsidRPr="00BC2259">
              <w:rPr>
                <w:rFonts w:ascii="Garamond" w:hAnsi="Garamond"/>
                <w:lang w:val="ru-RU"/>
              </w:rPr>
              <w:t>акціонерів</w:t>
            </w:r>
            <w:proofErr w:type="spellEnd"/>
            <w:r w:rsidRPr="00BC2259">
              <w:rPr>
                <w:rFonts w:ascii="Garamond" w:hAnsi="Garamond"/>
                <w:lang w:val="ru-RU"/>
              </w:rPr>
              <w:t xml:space="preserve">» </w:t>
            </w:r>
            <w:r w:rsidRPr="00BC2259">
              <w:rPr>
                <w:rFonts w:ascii="Garamond" w:hAnsi="Garamond"/>
              </w:rPr>
              <w:t>URL:</w:t>
            </w:r>
          </w:p>
          <w:p w:rsidR="00BC2259" w:rsidRDefault="00BC2259" w:rsidP="00DC572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  <w:p w:rsidR="00567CA8" w:rsidRPr="00BC2259" w:rsidRDefault="00ED0EA6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lang w:val="ru-RU"/>
              </w:rPr>
            </w:pPr>
            <w:hyperlink r:id="rId16" w:history="1"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https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://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energy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volyn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.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ua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/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informatsiia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/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zahalni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-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zbory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-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aktsioneriv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/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protokoly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-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zahalnykh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-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zboriv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-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</w:rPr>
                <w:t>aktsioneriv</w:t>
              </w:r>
              <w:r w:rsidR="00F55326" w:rsidRPr="00BC2259">
                <w:rPr>
                  <w:rStyle w:val="a3"/>
                  <w:rFonts w:ascii="Garamond" w:hAnsi="Garamond"/>
                  <w:b/>
                  <w:color w:val="0070C0"/>
                  <w:u w:val="none"/>
                  <w:lang w:val="ru-RU"/>
                </w:rPr>
                <w:t>/</w:t>
              </w:r>
            </w:hyperlink>
          </w:p>
        </w:tc>
      </w:tr>
      <w:tr w:rsidR="00905B40" w:rsidRPr="00BC2259" w:rsidTr="00905B40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Номер та дата рішення ради (виконавчого органу, якщо створення ради не передбачено) акціонерного товариства про затвердження повідомлення</w:t>
            </w:r>
          </w:p>
        </w:tc>
        <w:tc>
          <w:tcPr>
            <w:tcW w:w="3333" w:type="pct"/>
            <w:vAlign w:val="center"/>
            <w:hideMark/>
          </w:tcPr>
          <w:p w:rsidR="00567CA8" w:rsidRPr="00BC2259" w:rsidRDefault="008918DC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№ </w:t>
            </w:r>
            <w:r w:rsidR="00905B40" w:rsidRPr="00BC2259">
              <w:rPr>
                <w:rFonts w:ascii="Garamond" w:eastAsia="Times New Roman" w:hAnsi="Garamond" w:cs="Times New Roman"/>
                <w:lang w:eastAsia="uk-UA"/>
              </w:rPr>
              <w:t>20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>.03/202</w:t>
            </w:r>
            <w:r w:rsidR="00905B40" w:rsidRPr="00BC2259">
              <w:rPr>
                <w:rFonts w:ascii="Garamond" w:eastAsia="Times New Roman" w:hAnsi="Garamond" w:cs="Times New Roman"/>
                <w:lang w:eastAsia="uk-UA"/>
              </w:rPr>
              <w:t>5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 xml:space="preserve"> від </w:t>
            </w:r>
            <w:r w:rsidR="00905B40" w:rsidRPr="00BC2259">
              <w:rPr>
                <w:rFonts w:ascii="Garamond" w:eastAsia="Times New Roman" w:hAnsi="Garamond" w:cs="Times New Roman"/>
                <w:lang w:eastAsia="uk-UA"/>
              </w:rPr>
              <w:t>20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>.03/202</w:t>
            </w:r>
            <w:r w:rsidR="00905B40" w:rsidRPr="00BC2259">
              <w:rPr>
                <w:rFonts w:ascii="Garamond" w:eastAsia="Times New Roman" w:hAnsi="Garamond" w:cs="Times New Roman"/>
                <w:lang w:eastAsia="uk-UA"/>
              </w:rPr>
              <w:t>5</w:t>
            </w:r>
          </w:p>
        </w:tc>
      </w:tr>
      <w:tr w:rsidR="00905B40" w:rsidRPr="00BC2259" w:rsidTr="00BC2259">
        <w:trPr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  <w:hideMark/>
          </w:tcPr>
          <w:p w:rsidR="00567CA8" w:rsidRPr="00BC2259" w:rsidRDefault="00567CA8" w:rsidP="00DC572E">
            <w:pPr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Дата складання повідомлення</w:t>
            </w:r>
          </w:p>
        </w:tc>
        <w:tc>
          <w:tcPr>
            <w:tcW w:w="3333" w:type="pct"/>
            <w:vAlign w:val="center"/>
            <w:hideMark/>
          </w:tcPr>
          <w:p w:rsidR="00567CA8" w:rsidRPr="00BC2259" w:rsidRDefault="00905B40" w:rsidP="00BC2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Times New Roman" w:hAnsi="Garamond" w:cs="Times New Roman"/>
                <w:lang w:eastAsia="uk-UA"/>
              </w:rPr>
            </w:pPr>
            <w:r w:rsidRPr="00BC2259">
              <w:rPr>
                <w:rFonts w:ascii="Garamond" w:eastAsia="Times New Roman" w:hAnsi="Garamond" w:cs="Times New Roman"/>
                <w:lang w:eastAsia="uk-UA"/>
              </w:rPr>
              <w:t>20</w:t>
            </w:r>
            <w:r w:rsidR="008918DC" w:rsidRPr="00BC2259">
              <w:rPr>
                <w:rFonts w:ascii="Garamond" w:eastAsia="Times New Roman" w:hAnsi="Garamond" w:cs="Times New Roman"/>
                <w:lang w:eastAsia="uk-UA"/>
              </w:rPr>
              <w:t>.03.202</w:t>
            </w:r>
            <w:r w:rsidRPr="00BC2259">
              <w:rPr>
                <w:rFonts w:ascii="Garamond" w:eastAsia="Times New Roman" w:hAnsi="Garamond" w:cs="Times New Roman"/>
                <w:lang w:eastAsia="uk-UA"/>
              </w:rPr>
              <w:t>5</w:t>
            </w:r>
          </w:p>
        </w:tc>
      </w:tr>
    </w:tbl>
    <w:p w:rsidR="00A530FB" w:rsidRPr="00905B40" w:rsidRDefault="00A530FB" w:rsidP="00DC572E">
      <w:pPr>
        <w:spacing w:after="0" w:line="240" w:lineRule="auto"/>
        <w:rPr>
          <w:rFonts w:ascii="Garamond" w:hAnsi="Garamond"/>
          <w:sz w:val="20"/>
          <w:szCs w:val="20"/>
        </w:rPr>
      </w:pPr>
      <w:bookmarkStart w:id="8" w:name="n1283"/>
      <w:bookmarkEnd w:id="8"/>
    </w:p>
    <w:sectPr w:rsidR="00A530FB" w:rsidRPr="00905B40" w:rsidSect="00737BF6">
      <w:headerReference w:type="default" r:id="rId17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EA6" w:rsidRDefault="00ED0EA6" w:rsidP="00DC572E">
      <w:pPr>
        <w:spacing w:after="0" w:line="240" w:lineRule="auto"/>
      </w:pPr>
      <w:r>
        <w:separator/>
      </w:r>
    </w:p>
  </w:endnote>
  <w:endnote w:type="continuationSeparator" w:id="0">
    <w:p w:rsidR="00ED0EA6" w:rsidRDefault="00ED0EA6" w:rsidP="00DC5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EA6" w:rsidRDefault="00ED0EA6" w:rsidP="00DC572E">
      <w:pPr>
        <w:spacing w:after="0" w:line="240" w:lineRule="auto"/>
      </w:pPr>
      <w:r>
        <w:separator/>
      </w:r>
    </w:p>
  </w:footnote>
  <w:footnote w:type="continuationSeparator" w:id="0">
    <w:p w:rsidR="00ED0EA6" w:rsidRDefault="00ED0EA6" w:rsidP="00DC5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343870"/>
      <w:docPartObj>
        <w:docPartGallery w:val="Page Numbers (Top of Page)"/>
        <w:docPartUnique/>
      </w:docPartObj>
    </w:sdtPr>
    <w:sdtEndPr>
      <w:rPr>
        <w:rFonts w:ascii="Garamond" w:hAnsi="Garamond"/>
        <w:color w:val="4A739E"/>
        <w:sz w:val="20"/>
        <w:szCs w:val="20"/>
      </w:rPr>
    </w:sdtEndPr>
    <w:sdtContent>
      <w:p w:rsidR="00DC572E" w:rsidRPr="00DC572E" w:rsidRDefault="00DC572E">
        <w:pPr>
          <w:pStyle w:val="a5"/>
          <w:jc w:val="right"/>
          <w:rPr>
            <w:rFonts w:ascii="Garamond" w:hAnsi="Garamond"/>
            <w:color w:val="4A739E"/>
            <w:sz w:val="20"/>
            <w:szCs w:val="20"/>
          </w:rPr>
        </w:pPr>
        <w:r>
          <w:rPr>
            <w:rFonts w:ascii="Garamond" w:hAnsi="Garamond"/>
            <w:noProof/>
            <w:color w:val="4A739E"/>
            <w:sz w:val="20"/>
            <w:szCs w:val="20"/>
            <w:lang w:eastAsia="uk-UA"/>
          </w:rPr>
          <w:drawing>
            <wp:anchor distT="0" distB="0" distL="114300" distR="114300" simplePos="0" relativeHeight="251658240" behindDoc="0" locked="0" layoutInCell="1" allowOverlap="1" wp14:anchorId="433B7BF2" wp14:editId="5C0ED9A4">
              <wp:simplePos x="0" y="0"/>
              <wp:positionH relativeFrom="margin">
                <wp:align>left</wp:align>
              </wp:positionH>
              <wp:positionV relativeFrom="paragraph">
                <wp:posOffset>-99695</wp:posOffset>
              </wp:positionV>
              <wp:extent cx="707390" cy="294005"/>
              <wp:effectExtent l="0" t="0" r="0" b="0"/>
              <wp:wrapNone/>
              <wp:docPr id="2" name="Рисунок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7390" cy="294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DC572E">
          <w:rPr>
            <w:rFonts w:ascii="Garamond" w:hAnsi="Garamond"/>
            <w:color w:val="4A739E"/>
            <w:sz w:val="20"/>
            <w:szCs w:val="20"/>
          </w:rPr>
          <w:fldChar w:fldCharType="begin"/>
        </w:r>
        <w:r w:rsidRPr="00DC572E">
          <w:rPr>
            <w:rFonts w:ascii="Garamond" w:hAnsi="Garamond"/>
            <w:color w:val="4A739E"/>
            <w:sz w:val="20"/>
            <w:szCs w:val="20"/>
          </w:rPr>
          <w:instrText>PAGE   \* MERGEFORMAT</w:instrText>
        </w:r>
        <w:r w:rsidRPr="00DC572E">
          <w:rPr>
            <w:rFonts w:ascii="Garamond" w:hAnsi="Garamond"/>
            <w:color w:val="4A739E"/>
            <w:sz w:val="20"/>
            <w:szCs w:val="20"/>
          </w:rPr>
          <w:fldChar w:fldCharType="separate"/>
        </w:r>
        <w:r w:rsidR="00BC2259" w:rsidRPr="00BC2259">
          <w:rPr>
            <w:rFonts w:ascii="Garamond" w:hAnsi="Garamond"/>
            <w:noProof/>
            <w:color w:val="4A739E"/>
            <w:sz w:val="20"/>
            <w:szCs w:val="20"/>
            <w:lang w:val="ru-RU"/>
          </w:rPr>
          <w:t>2</w:t>
        </w:r>
        <w:r w:rsidRPr="00DC572E">
          <w:rPr>
            <w:rFonts w:ascii="Garamond" w:hAnsi="Garamond"/>
            <w:color w:val="4A739E"/>
            <w:sz w:val="20"/>
            <w:szCs w:val="20"/>
          </w:rPr>
          <w:fldChar w:fldCharType="end"/>
        </w:r>
      </w:p>
    </w:sdtContent>
  </w:sdt>
  <w:p w:rsidR="00DC572E" w:rsidRPr="00DC572E" w:rsidRDefault="00DC572E">
    <w:pPr>
      <w:pStyle w:val="a5"/>
      <w:rPr>
        <w:rFonts w:ascii="Garamond" w:hAnsi="Garamond"/>
        <w:color w:val="4A739E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371"/>
    <w:multiLevelType w:val="multilevel"/>
    <w:tmpl w:val="ACA497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B383872"/>
    <w:multiLevelType w:val="multilevel"/>
    <w:tmpl w:val="374242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4F1063"/>
    <w:multiLevelType w:val="hybridMultilevel"/>
    <w:tmpl w:val="083A17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97D68"/>
    <w:multiLevelType w:val="multilevel"/>
    <w:tmpl w:val="A2900C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C4C1E4A"/>
    <w:multiLevelType w:val="multilevel"/>
    <w:tmpl w:val="774C23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F22277"/>
    <w:multiLevelType w:val="multilevel"/>
    <w:tmpl w:val="B9A2F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6C210C6C"/>
    <w:multiLevelType w:val="multilevel"/>
    <w:tmpl w:val="99724E2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79E4D14"/>
    <w:multiLevelType w:val="hybridMultilevel"/>
    <w:tmpl w:val="9AE606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A8"/>
    <w:rsid w:val="000C295A"/>
    <w:rsid w:val="00154043"/>
    <w:rsid w:val="002F500E"/>
    <w:rsid w:val="003770D5"/>
    <w:rsid w:val="003F3FC6"/>
    <w:rsid w:val="004A69B3"/>
    <w:rsid w:val="00513B15"/>
    <w:rsid w:val="00567CA8"/>
    <w:rsid w:val="006E1DE6"/>
    <w:rsid w:val="006E4523"/>
    <w:rsid w:val="00733B68"/>
    <w:rsid w:val="00737BF6"/>
    <w:rsid w:val="00844FE1"/>
    <w:rsid w:val="008918DC"/>
    <w:rsid w:val="00905B40"/>
    <w:rsid w:val="009F58A2"/>
    <w:rsid w:val="00A530FB"/>
    <w:rsid w:val="00A9582E"/>
    <w:rsid w:val="00BC2259"/>
    <w:rsid w:val="00C65EFA"/>
    <w:rsid w:val="00C8125A"/>
    <w:rsid w:val="00DC572E"/>
    <w:rsid w:val="00E2242D"/>
    <w:rsid w:val="00ED0EA6"/>
    <w:rsid w:val="00EF5ABD"/>
    <w:rsid w:val="00F5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7B190"/>
  <w15:chartTrackingRefBased/>
  <w15:docId w15:val="{40E3B41F-6568-4D3F-83C6-9BD723F5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567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567CA8"/>
  </w:style>
  <w:style w:type="paragraph" w:customStyle="1" w:styleId="rvps12">
    <w:name w:val="rvps12"/>
    <w:basedOn w:val="a"/>
    <w:rsid w:val="00567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567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unhideWhenUsed/>
    <w:rsid w:val="00567CA8"/>
    <w:rPr>
      <w:color w:val="0000FF"/>
      <w:u w:val="single"/>
    </w:rPr>
  </w:style>
  <w:style w:type="character" w:customStyle="1" w:styleId="rvts37">
    <w:name w:val="rvts37"/>
    <w:basedOn w:val="a0"/>
    <w:rsid w:val="00567CA8"/>
  </w:style>
  <w:style w:type="character" w:customStyle="1" w:styleId="rvts82">
    <w:name w:val="rvts82"/>
    <w:basedOn w:val="a0"/>
    <w:rsid w:val="00567CA8"/>
  </w:style>
  <w:style w:type="paragraph" w:styleId="a4">
    <w:name w:val="List Paragraph"/>
    <w:basedOn w:val="a"/>
    <w:uiPriority w:val="34"/>
    <w:qFormat/>
    <w:rsid w:val="00844FE1"/>
    <w:pPr>
      <w:ind w:left="720"/>
      <w:contextualSpacing/>
    </w:pPr>
  </w:style>
  <w:style w:type="table" w:styleId="-11">
    <w:name w:val="Grid Table 1 Light Accent 1"/>
    <w:basedOn w:val="a1"/>
    <w:uiPriority w:val="46"/>
    <w:rsid w:val="000C295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5">
    <w:name w:val="header"/>
    <w:basedOn w:val="a"/>
    <w:link w:val="a6"/>
    <w:uiPriority w:val="99"/>
    <w:unhideWhenUsed/>
    <w:rsid w:val="00DC57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572E"/>
  </w:style>
  <w:style w:type="paragraph" w:styleId="a7">
    <w:name w:val="footer"/>
    <w:basedOn w:val="a"/>
    <w:link w:val="a8"/>
    <w:uiPriority w:val="99"/>
    <w:unhideWhenUsed/>
    <w:rsid w:val="00DC57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5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54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90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5-20" TargetMode="External"/><Relationship Id="rId13" Type="http://schemas.openxmlformats.org/officeDocument/2006/relationships/hyperlink" Target="https://zakon.rada.gov.ua/laws/show/2465-2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ondrovskyi.mm@energy.volyn.ua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energy.volyn.ua/informatsiia/zahalni-zbory-aktsioneriv/protokoly-zahalnykh-zboriv-aktsioneriv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ondrovskyi.mm@energy.volyn.u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nergy.volyn.ua/informatsiia/zahalni-zbory-aktsioneriv/biuleteni/" TargetMode="External"/><Relationship Id="rId10" Type="http://schemas.openxmlformats.org/officeDocument/2006/relationships/hyperlink" Target="mailto:mondrovskyi.mm@energy.volyn.u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nergy.volyn.ua/informatsiia/zahalni-zbory-aktsioneriv/" TargetMode="External"/><Relationship Id="rId14" Type="http://schemas.openxmlformats.org/officeDocument/2006/relationships/hyperlink" Target="https://zakon.rada.gov.ua/laws/show/2465-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8321</Words>
  <Characters>4744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Мондровський М.М.</dc:creator>
  <cp:keywords/>
  <dc:description/>
  <cp:lastModifiedBy>Мондровський М.М.</cp:lastModifiedBy>
  <cp:revision>28</cp:revision>
  <cp:lastPrinted>2024-03-20T09:31:00Z</cp:lastPrinted>
  <dcterms:created xsi:type="dcterms:W3CDTF">2024-02-21T08:22:00Z</dcterms:created>
  <dcterms:modified xsi:type="dcterms:W3CDTF">2025-03-11T11:40:00Z</dcterms:modified>
</cp:coreProperties>
</file>